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E5" w:rsidRPr="00314459" w:rsidRDefault="00314459" w:rsidP="00AD42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314459">
        <w:rPr>
          <w:rFonts w:ascii="Times New Roman" w:hAnsi="Times New Roman"/>
          <w:b/>
          <w:bCs/>
          <w:color w:val="000000"/>
          <w:sz w:val="36"/>
          <w:szCs w:val="36"/>
        </w:rPr>
        <w:t>Программа развития Х</w:t>
      </w:r>
      <w:r w:rsidR="00755502">
        <w:rPr>
          <w:rFonts w:ascii="Times New Roman" w:hAnsi="Times New Roman"/>
          <w:b/>
          <w:bCs/>
          <w:color w:val="000000"/>
          <w:sz w:val="36"/>
          <w:szCs w:val="36"/>
        </w:rPr>
        <w:t>имического парка «Тагил» на 201</w:t>
      </w:r>
      <w:r w:rsidR="00755502" w:rsidRPr="00755502">
        <w:rPr>
          <w:rFonts w:ascii="Times New Roman" w:hAnsi="Times New Roman"/>
          <w:b/>
          <w:bCs/>
          <w:color w:val="000000"/>
          <w:sz w:val="36"/>
          <w:szCs w:val="36"/>
        </w:rPr>
        <w:t>5</w:t>
      </w:r>
      <w:r w:rsidR="00755502">
        <w:rPr>
          <w:rFonts w:ascii="Times New Roman" w:hAnsi="Times New Roman"/>
          <w:b/>
          <w:bCs/>
          <w:color w:val="000000"/>
          <w:sz w:val="36"/>
          <w:szCs w:val="36"/>
        </w:rPr>
        <w:t>-201</w:t>
      </w:r>
      <w:r w:rsidR="00755502" w:rsidRPr="00755502">
        <w:rPr>
          <w:rFonts w:ascii="Times New Roman" w:hAnsi="Times New Roman"/>
          <w:b/>
          <w:bCs/>
          <w:color w:val="000000"/>
          <w:sz w:val="36"/>
          <w:szCs w:val="36"/>
        </w:rPr>
        <w:t>8</w:t>
      </w:r>
      <w:r w:rsidRPr="00314459">
        <w:rPr>
          <w:rFonts w:ascii="Times New Roman" w:hAnsi="Times New Roman"/>
          <w:b/>
          <w:bCs/>
          <w:color w:val="000000"/>
          <w:sz w:val="36"/>
          <w:szCs w:val="36"/>
        </w:rPr>
        <w:t xml:space="preserve"> гг.</w:t>
      </w:r>
    </w:p>
    <w:p w:rsidR="00AD42AB" w:rsidRDefault="00AD42AB" w:rsidP="001667E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42AB" w:rsidRPr="00AD42AB" w:rsidRDefault="00AD42AB" w:rsidP="00314459">
      <w:pPr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42AB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AD42AB" w:rsidRPr="007265B6" w:rsidRDefault="00AD42AB" w:rsidP="00C74A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65B6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7265B6">
        <w:rPr>
          <w:rFonts w:ascii="Times New Roman" w:hAnsi="Times New Roman"/>
          <w:bCs/>
          <w:color w:val="000000"/>
          <w:sz w:val="28"/>
          <w:szCs w:val="28"/>
        </w:rPr>
        <w:tab/>
        <w:t>с</w:t>
      </w:r>
      <w:r w:rsidRPr="007265B6">
        <w:rPr>
          <w:rFonts w:ascii="Times New Roman" w:hAnsi="Times New Roman"/>
          <w:sz w:val="28"/>
          <w:szCs w:val="28"/>
        </w:rPr>
        <w:t>оздание и поддержание работоспособности необходимой инфраструктуры для производства химической продукции, обеспечивающей диверсификацию экономики региона</w:t>
      </w:r>
      <w:r w:rsidR="00755502">
        <w:rPr>
          <w:rFonts w:ascii="Times New Roman" w:hAnsi="Times New Roman"/>
          <w:sz w:val="28"/>
          <w:szCs w:val="28"/>
        </w:rPr>
        <w:t xml:space="preserve"> за счет привлечения новых инвесторов и резидентов на площадку Технопарка</w:t>
      </w:r>
      <w:r w:rsidRPr="007265B6">
        <w:rPr>
          <w:rFonts w:ascii="Times New Roman" w:hAnsi="Times New Roman"/>
          <w:sz w:val="28"/>
          <w:szCs w:val="28"/>
        </w:rPr>
        <w:t>;</w:t>
      </w:r>
    </w:p>
    <w:p w:rsidR="00AD42AB" w:rsidRDefault="00AD42AB" w:rsidP="00C74A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>-</w:t>
      </w:r>
      <w:r w:rsidRPr="007265B6">
        <w:rPr>
          <w:rFonts w:ascii="Times New Roman" w:hAnsi="Times New Roman"/>
          <w:sz w:val="28"/>
          <w:szCs w:val="28"/>
        </w:rPr>
        <w:tab/>
        <w:t>создание собственного комплекса по переработке природного газа,  являющееся одним из инновационных направлений в переработке и использовании первичной сырьевой составляющей – природного газа, что позволит повысить эффективность использования природных ресурсов и обеспечить диверсификацию экспорта;</w:t>
      </w:r>
    </w:p>
    <w:p w:rsidR="00755502" w:rsidRPr="00755502" w:rsidRDefault="00755502" w:rsidP="00C74A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собственной сет</w:t>
      </w:r>
      <w:r w:rsidR="00C74A47">
        <w:rPr>
          <w:rFonts w:ascii="Times New Roman" w:hAnsi="Times New Roman"/>
          <w:sz w:val="28"/>
          <w:szCs w:val="28"/>
        </w:rPr>
        <w:t>евой организации  и модернизации</w:t>
      </w:r>
      <w:r>
        <w:rPr>
          <w:rFonts w:ascii="Times New Roman" w:hAnsi="Times New Roman"/>
          <w:sz w:val="28"/>
          <w:szCs w:val="28"/>
        </w:rPr>
        <w:t xml:space="preserve"> электросетевого хозяйства площадки; </w:t>
      </w:r>
    </w:p>
    <w:p w:rsidR="00AD42AB" w:rsidRPr="00755502" w:rsidRDefault="00AD42AB" w:rsidP="00C74A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>-</w:t>
      </w:r>
      <w:r w:rsidRPr="007265B6">
        <w:rPr>
          <w:rFonts w:ascii="Times New Roman" w:hAnsi="Times New Roman"/>
          <w:sz w:val="28"/>
          <w:szCs w:val="28"/>
        </w:rPr>
        <w:tab/>
      </w:r>
      <w:proofErr w:type="spellStart"/>
      <w:r w:rsidRPr="007265B6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7265B6">
        <w:rPr>
          <w:rFonts w:ascii="Times New Roman" w:hAnsi="Times New Roman"/>
          <w:sz w:val="28"/>
          <w:szCs w:val="28"/>
        </w:rPr>
        <w:t xml:space="preserve"> промышленного производства, за счет модернизации и  внедрения экологически чистых (безотходных) технологий, применения современных высокоэффективных систем очистки воды и воздуха, утилизации отходов</w:t>
      </w:r>
      <w:r w:rsidR="00755502">
        <w:rPr>
          <w:rFonts w:ascii="Times New Roman" w:hAnsi="Times New Roman"/>
          <w:sz w:val="28"/>
          <w:szCs w:val="28"/>
        </w:rPr>
        <w:t xml:space="preserve"> за счет замены старой печи термического обезвреживания жидких отход, на </w:t>
      </w:r>
      <w:proofErr w:type="gramStart"/>
      <w:r w:rsidR="00755502">
        <w:rPr>
          <w:rFonts w:ascii="Times New Roman" w:hAnsi="Times New Roman"/>
          <w:sz w:val="28"/>
          <w:szCs w:val="28"/>
        </w:rPr>
        <w:t>новую</w:t>
      </w:r>
      <w:proofErr w:type="gramEnd"/>
      <w:r w:rsidR="00755502">
        <w:rPr>
          <w:rFonts w:ascii="Times New Roman" w:hAnsi="Times New Roman"/>
          <w:sz w:val="28"/>
          <w:szCs w:val="28"/>
        </w:rPr>
        <w:t>, с возможностью утилизации твердых отходов</w:t>
      </w:r>
      <w:r w:rsidRPr="007265B6">
        <w:rPr>
          <w:rFonts w:ascii="Times New Roman" w:hAnsi="Times New Roman"/>
          <w:sz w:val="28"/>
          <w:szCs w:val="28"/>
        </w:rPr>
        <w:t>;</w:t>
      </w:r>
    </w:p>
    <w:p w:rsidR="00AD42AB" w:rsidRPr="007265B6" w:rsidRDefault="00AD42AB" w:rsidP="00C74A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>-</w:t>
      </w:r>
      <w:r w:rsidRPr="007265B6">
        <w:rPr>
          <w:rFonts w:ascii="Times New Roman" w:hAnsi="Times New Roman"/>
          <w:sz w:val="28"/>
          <w:szCs w:val="28"/>
        </w:rPr>
        <w:tab/>
        <w:t>укрепление позиций предприятий Свердловской области на рынке Росси</w:t>
      </w:r>
      <w:r w:rsidR="006E7ED8">
        <w:rPr>
          <w:rFonts w:ascii="Times New Roman" w:hAnsi="Times New Roman"/>
          <w:sz w:val="28"/>
          <w:szCs w:val="28"/>
        </w:rPr>
        <w:t>и</w:t>
      </w:r>
      <w:r w:rsidR="006E7ED8" w:rsidRPr="006E7ED8">
        <w:rPr>
          <w:rFonts w:ascii="Times New Roman" w:hAnsi="Times New Roman"/>
          <w:sz w:val="28"/>
          <w:szCs w:val="28"/>
        </w:rPr>
        <w:t xml:space="preserve"> </w:t>
      </w:r>
      <w:r w:rsidR="006E7ED8">
        <w:rPr>
          <w:rFonts w:ascii="Times New Roman" w:hAnsi="Times New Roman"/>
          <w:sz w:val="28"/>
          <w:szCs w:val="28"/>
        </w:rPr>
        <w:t>стран СНГ</w:t>
      </w:r>
      <w:r w:rsidRPr="007265B6">
        <w:rPr>
          <w:rFonts w:ascii="Times New Roman" w:hAnsi="Times New Roman"/>
          <w:sz w:val="28"/>
          <w:szCs w:val="28"/>
        </w:rPr>
        <w:t>, а так же зарубежных рынках;</w:t>
      </w:r>
    </w:p>
    <w:p w:rsidR="00AD42AB" w:rsidRPr="007265B6" w:rsidRDefault="00AD42AB" w:rsidP="00C74A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>-</w:t>
      </w:r>
      <w:r w:rsidRPr="007265B6">
        <w:rPr>
          <w:rFonts w:ascii="Times New Roman" w:hAnsi="Times New Roman"/>
          <w:sz w:val="28"/>
          <w:szCs w:val="28"/>
        </w:rPr>
        <w:tab/>
        <w:t>предоставление полного комплекса сервисных услуг, для увеличения выгоды, получаемой от использования эффекта синергии.</w:t>
      </w:r>
    </w:p>
    <w:p w:rsidR="00AD42AB" w:rsidRDefault="00AD42AB" w:rsidP="001667E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4459" w:rsidRDefault="00314459" w:rsidP="003144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459">
        <w:rPr>
          <w:rFonts w:ascii="Times New Roman" w:hAnsi="Times New Roman"/>
          <w:b/>
          <w:bCs/>
          <w:color w:val="000000"/>
          <w:sz w:val="28"/>
          <w:szCs w:val="28"/>
        </w:rPr>
        <w:t>Текущее состо</w:t>
      </w:r>
      <w:r w:rsidR="009A4996">
        <w:rPr>
          <w:rFonts w:ascii="Times New Roman" w:hAnsi="Times New Roman"/>
          <w:b/>
          <w:bCs/>
          <w:color w:val="000000"/>
          <w:sz w:val="28"/>
          <w:szCs w:val="28"/>
        </w:rPr>
        <w:t>яние Технопарка</w:t>
      </w:r>
      <w:r w:rsidR="00044A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14459" w:rsidRPr="00314459" w:rsidRDefault="00314459" w:rsidP="003144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A71" w:rsidRPr="004A1C11" w:rsidRDefault="001667E5" w:rsidP="00C74A4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65B6">
        <w:rPr>
          <w:rFonts w:ascii="Times New Roman" w:hAnsi="Times New Roman"/>
          <w:bCs/>
          <w:color w:val="000000"/>
          <w:sz w:val="28"/>
          <w:szCs w:val="28"/>
        </w:rPr>
        <w:tab/>
      </w:r>
      <w:r w:rsidR="00044A71" w:rsidRPr="004A1C11">
        <w:rPr>
          <w:rFonts w:ascii="Times New Roman" w:hAnsi="Times New Roman"/>
          <w:sz w:val="28"/>
          <w:szCs w:val="28"/>
        </w:rPr>
        <w:t>Химический парк Тагил, созданный на базе ОАО «</w:t>
      </w:r>
      <w:proofErr w:type="spellStart"/>
      <w:r w:rsidR="00044A71" w:rsidRPr="004A1C11">
        <w:rPr>
          <w:rFonts w:ascii="Times New Roman" w:hAnsi="Times New Roman"/>
          <w:sz w:val="28"/>
          <w:szCs w:val="28"/>
        </w:rPr>
        <w:t>Уралхимпалст</w:t>
      </w:r>
      <w:proofErr w:type="spellEnd"/>
      <w:r w:rsidR="00044A71" w:rsidRPr="004A1C11">
        <w:rPr>
          <w:rFonts w:ascii="Times New Roman" w:hAnsi="Times New Roman"/>
          <w:sz w:val="28"/>
          <w:szCs w:val="28"/>
        </w:rPr>
        <w:t>» в полном объеме ориентирован  на создание</w:t>
      </w:r>
      <w:r w:rsidR="00044A71" w:rsidRPr="004A1C11">
        <w:rPr>
          <w:rFonts w:ascii="Times New Roman" w:hAnsi="Times New Roman"/>
          <w:color w:val="000000"/>
          <w:sz w:val="28"/>
          <w:szCs w:val="28"/>
        </w:rPr>
        <w:t xml:space="preserve"> полноценного индустриального комплекса, состоящего из химических производственных, торговых и сервисных предприятий. Данный комплекс концентрирует в себе новые </w:t>
      </w:r>
      <w:r w:rsidR="00044A71" w:rsidRPr="004A1C11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технологии и знания, которые совершенствуют процессы производства в области </w:t>
      </w:r>
      <w:r w:rsidR="00044A71" w:rsidRPr="004A1C11">
        <w:rPr>
          <w:rFonts w:ascii="Times New Roman" w:hAnsi="Times New Roman"/>
          <w:sz w:val="28"/>
          <w:szCs w:val="28"/>
        </w:rPr>
        <w:t>охраны труда, промышленной и экологической безопасности, а так же увеличению производительности труда и социально-экономического развития, как города, так и области в целом.</w:t>
      </w:r>
      <w:r w:rsidRPr="004A1C11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044A71" w:rsidRPr="004A1C11" w:rsidRDefault="00044A71" w:rsidP="00C74A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1C11">
        <w:rPr>
          <w:rFonts w:ascii="Times New Roman" w:hAnsi="Times New Roman"/>
          <w:color w:val="000000"/>
          <w:sz w:val="28"/>
          <w:szCs w:val="28"/>
        </w:rPr>
        <w:t xml:space="preserve">            За три года работы мы существенно продвинулись в развитии</w:t>
      </w:r>
      <w:r w:rsidRPr="004A1C11">
        <w:rPr>
          <w:rFonts w:ascii="Times New Roman" w:hAnsi="Times New Roman"/>
          <w:sz w:val="28"/>
          <w:szCs w:val="28"/>
        </w:rPr>
        <w:t>. На сегодняшний день участника</w:t>
      </w:r>
      <w:r w:rsidR="000A3295">
        <w:rPr>
          <w:rFonts w:ascii="Times New Roman" w:hAnsi="Times New Roman"/>
          <w:sz w:val="28"/>
          <w:szCs w:val="28"/>
        </w:rPr>
        <w:t>ми технопарка являются 11</w:t>
      </w:r>
      <w:r w:rsidRPr="004A1C11">
        <w:rPr>
          <w:rFonts w:ascii="Times New Roman" w:hAnsi="Times New Roman"/>
          <w:sz w:val="28"/>
          <w:szCs w:val="28"/>
        </w:rPr>
        <w:t xml:space="preserve"> компаний Резидентов, созданных в формате совместных предприятий с партнерами, а так же независимые малые и средние предприятия, сервисные компании, осуществляющие свою деятельность в едином инфраструктурном пространстве.  </w:t>
      </w:r>
    </w:p>
    <w:p w:rsidR="00BC092E" w:rsidRPr="004A1C11" w:rsidRDefault="00044A71" w:rsidP="00044A71">
      <w:pPr>
        <w:jc w:val="both"/>
        <w:rPr>
          <w:rFonts w:ascii="Times New Roman" w:hAnsi="Times New Roman"/>
          <w:sz w:val="28"/>
          <w:szCs w:val="28"/>
        </w:rPr>
      </w:pPr>
      <w:r w:rsidRPr="004A1C11">
        <w:rPr>
          <w:rFonts w:ascii="Times New Roman" w:hAnsi="Times New Roman"/>
          <w:sz w:val="28"/>
          <w:szCs w:val="28"/>
        </w:rPr>
        <w:t>Основ</w:t>
      </w:r>
      <w:r w:rsidR="00BC092E" w:rsidRPr="004A1C11">
        <w:rPr>
          <w:rFonts w:ascii="Times New Roman" w:hAnsi="Times New Roman"/>
          <w:sz w:val="28"/>
          <w:szCs w:val="28"/>
        </w:rPr>
        <w:t>ные показатели деятельности Резидентов</w:t>
      </w:r>
      <w:r w:rsidRPr="004A1C11">
        <w:rPr>
          <w:rFonts w:ascii="Times New Roman" w:hAnsi="Times New Roman"/>
          <w:sz w:val="28"/>
          <w:szCs w:val="28"/>
        </w:rPr>
        <w:t xml:space="preserve"> </w:t>
      </w:r>
      <w:r w:rsidR="00BC092E" w:rsidRPr="004A1C11">
        <w:rPr>
          <w:rFonts w:ascii="Times New Roman" w:hAnsi="Times New Roman"/>
          <w:sz w:val="28"/>
          <w:szCs w:val="28"/>
        </w:rPr>
        <w:t xml:space="preserve">за </w:t>
      </w:r>
      <w:r w:rsidRPr="004A1C11">
        <w:rPr>
          <w:rFonts w:ascii="Times New Roman" w:hAnsi="Times New Roman"/>
          <w:sz w:val="28"/>
          <w:szCs w:val="28"/>
        </w:rPr>
        <w:t>2014 года: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5"/>
        <w:gridCol w:w="2692"/>
        <w:gridCol w:w="1842"/>
        <w:gridCol w:w="1560"/>
      </w:tblGrid>
      <w:tr w:rsidR="000A3295" w:rsidRPr="00BC092E" w:rsidTr="000A3295">
        <w:trPr>
          <w:trHeight w:val="6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Компания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Отрасль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Объем продаж (</w:t>
            </w:r>
            <w:proofErr w:type="spellStart"/>
            <w:r w:rsidRPr="00BC092E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BC092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Рабочие места</w:t>
            </w:r>
          </w:p>
        </w:tc>
      </w:tr>
      <w:tr w:rsidR="000A3295" w:rsidRPr="00BC092E" w:rsidTr="000A3295">
        <w:trPr>
          <w:trHeight w:val="3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ОАО "</w:t>
            </w:r>
            <w:proofErr w:type="spellStart"/>
            <w:r w:rsidRPr="00BC092E">
              <w:rPr>
                <w:rFonts w:ascii="Times New Roman" w:hAnsi="Times New Roman"/>
                <w:sz w:val="24"/>
                <w:szCs w:val="24"/>
              </w:rPr>
              <w:t>Уралхимпласт</w:t>
            </w:r>
            <w:proofErr w:type="spellEnd"/>
            <w:r w:rsidRPr="00BC092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Химическая промышленость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3 962 919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1 165</w:t>
            </w:r>
          </w:p>
        </w:tc>
      </w:tr>
      <w:tr w:rsidR="000A3295" w:rsidRPr="00BC092E" w:rsidTr="000A3295">
        <w:trPr>
          <w:trHeight w:val="3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BC092E">
              <w:rPr>
                <w:rFonts w:ascii="Times New Roman" w:hAnsi="Times New Roman"/>
                <w:sz w:val="24"/>
                <w:szCs w:val="24"/>
              </w:rPr>
              <w:t>Уралхимпласт-Хюттенес</w:t>
            </w:r>
            <w:proofErr w:type="spellEnd"/>
            <w:r w:rsidRPr="00BC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2E">
              <w:rPr>
                <w:rFonts w:ascii="Times New Roman" w:hAnsi="Times New Roman"/>
                <w:sz w:val="24"/>
                <w:szCs w:val="24"/>
              </w:rPr>
              <w:t>Альбертус</w:t>
            </w:r>
            <w:proofErr w:type="spellEnd"/>
            <w:r w:rsidRPr="00BC092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Химическая промышленость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1 194 814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A3295" w:rsidRPr="00BC092E" w:rsidTr="000A3295">
        <w:trPr>
          <w:trHeight w:val="3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ООО "Уральский завод пластификаторов"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Химическая промышленость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329 929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0A3295" w:rsidRPr="00BC092E" w:rsidTr="000A3295">
        <w:trPr>
          <w:trHeight w:val="3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BC092E">
              <w:rPr>
                <w:rFonts w:ascii="Times New Roman" w:hAnsi="Times New Roman"/>
                <w:sz w:val="24"/>
                <w:szCs w:val="24"/>
              </w:rPr>
              <w:t>Уралхимпласт-Амдор</w:t>
            </w:r>
            <w:proofErr w:type="spellEnd"/>
            <w:r w:rsidRPr="00BC092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Химическая промышленость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315 262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A3295" w:rsidRPr="00BC092E" w:rsidTr="000A3295">
        <w:trPr>
          <w:trHeight w:val="3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BC092E">
              <w:rPr>
                <w:rFonts w:ascii="Times New Roman" w:hAnsi="Times New Roman"/>
                <w:sz w:val="24"/>
                <w:szCs w:val="24"/>
              </w:rPr>
              <w:t>Уралхимпласт</w:t>
            </w:r>
            <w:proofErr w:type="spellEnd"/>
            <w:r w:rsidRPr="00BC092E">
              <w:rPr>
                <w:rFonts w:ascii="Times New Roman" w:hAnsi="Times New Roman"/>
                <w:sz w:val="24"/>
                <w:szCs w:val="24"/>
              </w:rPr>
              <w:t xml:space="preserve"> - Эс-Ай Групп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Химическая промышленость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396 413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3295" w:rsidRPr="00BC092E" w:rsidTr="000A3295">
        <w:trPr>
          <w:trHeight w:val="6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ООО НПО "Буровик"</w:t>
            </w:r>
          </w:p>
        </w:tc>
        <w:tc>
          <w:tcPr>
            <w:tcW w:w="2692" w:type="dxa"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Производство бурового оборудования, металлообработка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Pr="00BC092E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3295" w:rsidRPr="00BC092E" w:rsidTr="000A3295">
        <w:trPr>
          <w:trHeight w:val="3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ООО "ЦМП-УХП"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53 000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A3295" w:rsidRPr="00BC092E" w:rsidTr="000A3295">
        <w:trPr>
          <w:trHeight w:val="3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ООО "Легион"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Метал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C092E">
              <w:rPr>
                <w:rFonts w:ascii="Times New Roman" w:hAnsi="Times New Roman"/>
                <w:sz w:val="24"/>
                <w:szCs w:val="24"/>
              </w:rPr>
              <w:t>ообработка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22 280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3295" w:rsidRPr="00BC092E" w:rsidTr="000A3295">
        <w:trPr>
          <w:trHeight w:val="3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BC092E">
              <w:rPr>
                <w:rFonts w:ascii="Times New Roman" w:hAnsi="Times New Roman"/>
                <w:sz w:val="24"/>
                <w:szCs w:val="24"/>
              </w:rPr>
              <w:t>Экотехнологии</w:t>
            </w:r>
            <w:proofErr w:type="spellEnd"/>
            <w:r w:rsidRPr="00BC092E">
              <w:rPr>
                <w:rFonts w:ascii="Times New Roman" w:hAnsi="Times New Roman"/>
                <w:sz w:val="24"/>
                <w:szCs w:val="24"/>
              </w:rPr>
              <w:t xml:space="preserve"> 2005"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Химическая промышленость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2 777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0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3295" w:rsidRPr="00BC092E" w:rsidTr="000A3295">
        <w:trPr>
          <w:trHeight w:val="3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ООО "ЛИМПА"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Деревоо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C092E">
              <w:rPr>
                <w:rFonts w:ascii="Times New Roman" w:hAnsi="Times New Roman"/>
                <w:sz w:val="24"/>
                <w:szCs w:val="24"/>
              </w:rPr>
              <w:t>работка, подготовка тары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3 110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3295" w:rsidRPr="00BC092E" w:rsidTr="000A3295">
        <w:trPr>
          <w:trHeight w:val="3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УралМетаноГрупп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A3295" w:rsidRPr="00BC092E" w:rsidTr="000A3295">
        <w:trPr>
          <w:trHeight w:val="300"/>
        </w:trPr>
        <w:tc>
          <w:tcPr>
            <w:tcW w:w="2945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9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6 408 504</w:t>
            </w:r>
          </w:p>
        </w:tc>
        <w:tc>
          <w:tcPr>
            <w:tcW w:w="1560" w:type="dxa"/>
            <w:noWrap/>
            <w:hideMark/>
          </w:tcPr>
          <w:p w:rsidR="000A3295" w:rsidRPr="00BC092E" w:rsidRDefault="000A3295" w:rsidP="00BC0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1 497</w:t>
            </w:r>
          </w:p>
        </w:tc>
      </w:tr>
    </w:tbl>
    <w:p w:rsidR="00BC092E" w:rsidRDefault="00BC092E" w:rsidP="00044A71">
      <w:pPr>
        <w:jc w:val="both"/>
        <w:rPr>
          <w:rFonts w:ascii="Times New Roman" w:hAnsi="Times New Roman"/>
          <w:sz w:val="24"/>
          <w:szCs w:val="24"/>
        </w:rPr>
      </w:pPr>
    </w:p>
    <w:p w:rsidR="00C74A47" w:rsidRDefault="00C74A47" w:rsidP="00044A71">
      <w:pPr>
        <w:jc w:val="both"/>
        <w:rPr>
          <w:rFonts w:ascii="Times New Roman" w:hAnsi="Times New Roman"/>
          <w:sz w:val="24"/>
          <w:szCs w:val="24"/>
        </w:rPr>
      </w:pPr>
    </w:p>
    <w:p w:rsidR="004A1C11" w:rsidRDefault="004A1C11" w:rsidP="00044A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Динамика показателей деятельности Резидентов за 2012- 2014 годы </w:t>
      </w:r>
    </w:p>
    <w:p w:rsidR="00044A71" w:rsidRDefault="00BC092E" w:rsidP="00044A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5391DA9" wp14:editId="5A2DAA1B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4A1C11" w:rsidRDefault="004A1C11" w:rsidP="00466505">
      <w:pPr>
        <w:jc w:val="both"/>
        <w:rPr>
          <w:rFonts w:ascii="Times New Roman" w:hAnsi="Times New Roman"/>
          <w:sz w:val="28"/>
          <w:szCs w:val="28"/>
        </w:rPr>
      </w:pPr>
    </w:p>
    <w:p w:rsidR="001667E5" w:rsidRPr="0043090D" w:rsidRDefault="001667E5" w:rsidP="009A4996">
      <w:pPr>
        <w:jc w:val="both"/>
        <w:rPr>
          <w:rFonts w:ascii="Times New Roman" w:hAnsi="Times New Roman"/>
          <w:sz w:val="28"/>
          <w:szCs w:val="28"/>
        </w:rPr>
      </w:pPr>
      <w:r w:rsidRPr="004671FA">
        <w:rPr>
          <w:rFonts w:ascii="Times New Roman" w:hAnsi="Times New Roman"/>
          <w:bCs/>
          <w:color w:val="000000"/>
          <w:sz w:val="24"/>
          <w:szCs w:val="24"/>
        </w:rPr>
        <w:tab/>
      </w:r>
      <w:r w:rsidR="009A4996" w:rsidRPr="009A4996">
        <w:rPr>
          <w:rFonts w:ascii="Times New Roman" w:hAnsi="Times New Roman"/>
          <w:sz w:val="28"/>
          <w:szCs w:val="28"/>
        </w:rPr>
        <w:t>За три года было создано и модернизировано  - 102 раб</w:t>
      </w:r>
      <w:proofErr w:type="gramStart"/>
      <w:r w:rsidR="009A4996" w:rsidRPr="009A4996">
        <w:rPr>
          <w:rFonts w:ascii="Times New Roman" w:hAnsi="Times New Roman"/>
          <w:sz w:val="28"/>
          <w:szCs w:val="28"/>
        </w:rPr>
        <w:t>.</w:t>
      </w:r>
      <w:proofErr w:type="gramEnd"/>
      <w:r w:rsidR="009A4996" w:rsidRPr="009A49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4996" w:rsidRPr="009A4996">
        <w:rPr>
          <w:rFonts w:ascii="Times New Roman" w:hAnsi="Times New Roman"/>
          <w:sz w:val="28"/>
          <w:szCs w:val="28"/>
        </w:rPr>
        <w:t>м</w:t>
      </w:r>
      <w:proofErr w:type="gramEnd"/>
      <w:r w:rsidR="009A4996" w:rsidRPr="009A4996">
        <w:rPr>
          <w:rFonts w:ascii="Times New Roman" w:hAnsi="Times New Roman"/>
          <w:sz w:val="28"/>
          <w:szCs w:val="28"/>
        </w:rPr>
        <w:t xml:space="preserve">ест. Общая сумма инвестиций в проекты составила 2,3 млрд. рублей. </w:t>
      </w:r>
      <w:proofErr w:type="gramStart"/>
      <w:r w:rsidR="009A4996" w:rsidRPr="009A4996">
        <w:rPr>
          <w:rFonts w:ascii="Times New Roman" w:hAnsi="Times New Roman"/>
          <w:sz w:val="28"/>
          <w:szCs w:val="28"/>
        </w:rPr>
        <w:t>Введены</w:t>
      </w:r>
      <w:proofErr w:type="gramEnd"/>
      <w:r w:rsidR="009A4996" w:rsidRPr="009A4996">
        <w:rPr>
          <w:rFonts w:ascii="Times New Roman" w:hAnsi="Times New Roman"/>
          <w:sz w:val="28"/>
          <w:szCs w:val="28"/>
        </w:rPr>
        <w:t xml:space="preserve"> в эксплуатацию производство формалина мощностью 30 тыс. тонн/год, и производство концентрата КФК  мощностью 50 тыс. тонн в год. Реализован проект по строительству новой линии очистных сооружений (БОС «</w:t>
      </w:r>
      <w:proofErr w:type="spellStart"/>
      <w:r w:rsidR="009A4996" w:rsidRPr="009A4996">
        <w:rPr>
          <w:rFonts w:ascii="Times New Roman" w:hAnsi="Times New Roman"/>
          <w:sz w:val="28"/>
          <w:szCs w:val="28"/>
        </w:rPr>
        <w:t>Химпарка</w:t>
      </w:r>
      <w:proofErr w:type="spellEnd"/>
      <w:r w:rsidR="009A4996" w:rsidRPr="009A4996">
        <w:rPr>
          <w:rFonts w:ascii="Times New Roman" w:hAnsi="Times New Roman"/>
          <w:sz w:val="28"/>
          <w:szCs w:val="28"/>
        </w:rPr>
        <w:t xml:space="preserve"> Тагил») с мощностью очистки стоков 15 000 м</w:t>
      </w:r>
      <m:oMath>
        <m:r>
          <w:rPr>
            <w:rFonts w:ascii="Cambria Math" w:hAnsi="Cambria Math"/>
            <w:sz w:val="28"/>
            <w:szCs w:val="28"/>
          </w:rPr>
          <m:t>³</m:t>
        </m:r>
      </m:oMath>
      <w:r w:rsidR="009A4996" w:rsidRPr="009A4996">
        <w:rPr>
          <w:rFonts w:ascii="Times New Roman" w:hAnsi="Times New Roman"/>
          <w:sz w:val="28"/>
          <w:szCs w:val="28"/>
        </w:rPr>
        <w:t xml:space="preserve">/сутки. Стоимость проекта составила 678 млн. руб. в </w:t>
      </w:r>
      <w:proofErr w:type="spellStart"/>
      <w:r w:rsidR="009A4996" w:rsidRPr="009A4996">
        <w:rPr>
          <w:rFonts w:ascii="Times New Roman" w:hAnsi="Times New Roman"/>
          <w:sz w:val="28"/>
          <w:szCs w:val="28"/>
        </w:rPr>
        <w:t>т.ч</w:t>
      </w:r>
      <w:proofErr w:type="spellEnd"/>
      <w:r w:rsidR="009A4996" w:rsidRPr="009A4996">
        <w:rPr>
          <w:rFonts w:ascii="Times New Roman" w:hAnsi="Times New Roman"/>
          <w:sz w:val="28"/>
          <w:szCs w:val="28"/>
        </w:rPr>
        <w:t xml:space="preserve">. 339 млн. </w:t>
      </w:r>
      <w:proofErr w:type="spellStart"/>
      <w:r w:rsidR="009A4996" w:rsidRPr="009A4996">
        <w:rPr>
          <w:rFonts w:ascii="Times New Roman" w:hAnsi="Times New Roman"/>
          <w:sz w:val="28"/>
          <w:szCs w:val="28"/>
        </w:rPr>
        <w:t>руб</w:t>
      </w:r>
      <w:proofErr w:type="spellEnd"/>
      <w:r w:rsidR="009A4996" w:rsidRPr="009A4996">
        <w:rPr>
          <w:rFonts w:ascii="Times New Roman" w:hAnsi="Times New Roman"/>
          <w:sz w:val="28"/>
          <w:szCs w:val="28"/>
        </w:rPr>
        <w:t xml:space="preserve"> – государственные субсидии. Часть средств была направлена на модернизацию существующей инфраструктуры. </w:t>
      </w:r>
    </w:p>
    <w:p w:rsidR="00AD42AB" w:rsidRPr="00AD42AB" w:rsidRDefault="00C74A47" w:rsidP="009A49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Инфраструктура Технопарка</w:t>
      </w:r>
      <w:r w:rsidR="00AD42AB" w:rsidRPr="00AD42AB">
        <w:rPr>
          <w:rFonts w:ascii="Times New Roman" w:hAnsi="Times New Roman"/>
          <w:b/>
          <w:sz w:val="28"/>
          <w:szCs w:val="28"/>
        </w:rPr>
        <w:t>:</w:t>
      </w:r>
    </w:p>
    <w:p w:rsidR="00A834AC" w:rsidRPr="007265B6" w:rsidRDefault="00D17273" w:rsidP="00AD42A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>Свободные мощности энергоносителей</w:t>
      </w:r>
    </w:p>
    <w:p w:rsidR="00A834AC" w:rsidRPr="007265B6" w:rsidRDefault="00D17273" w:rsidP="00AD42A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 xml:space="preserve">  Отвод стоков на собственные очистные сооружения</w:t>
      </w:r>
    </w:p>
    <w:p w:rsidR="00A834AC" w:rsidRPr="007265B6" w:rsidRDefault="00D17273" w:rsidP="00AD42A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 xml:space="preserve">  Полигон для утилизации твердых промышленных отходов </w:t>
      </w:r>
    </w:p>
    <w:p w:rsidR="00A834AC" w:rsidRPr="007265B6" w:rsidRDefault="00D17273" w:rsidP="00AD42A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 xml:space="preserve">  Печи термического  обезвреживания для утилизации </w:t>
      </w:r>
    </w:p>
    <w:p w:rsidR="00AD42AB" w:rsidRPr="007265B6" w:rsidRDefault="00AD42AB" w:rsidP="00AD42AB">
      <w:p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 xml:space="preserve">    химических загрязненных стоков</w:t>
      </w:r>
    </w:p>
    <w:p w:rsidR="00A834AC" w:rsidRPr="007265B6" w:rsidRDefault="00D17273" w:rsidP="00AD42A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 xml:space="preserve">  Развитая сеть внутриплощадочных автомобильных дорог</w:t>
      </w:r>
    </w:p>
    <w:p w:rsidR="00AD42AB" w:rsidRPr="007265B6" w:rsidRDefault="00AD42AB" w:rsidP="00AD42AB">
      <w:p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 xml:space="preserve">     общей протяженностью  около 35 км</w:t>
      </w:r>
    </w:p>
    <w:p w:rsidR="00A834AC" w:rsidRPr="007265B6" w:rsidRDefault="00D17273" w:rsidP="00AD42AB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 xml:space="preserve">  Развитая сеть железнодорожных путей – около 20 км </w:t>
      </w:r>
      <w:proofErr w:type="gramStart"/>
      <w:r w:rsidRPr="007265B6">
        <w:rPr>
          <w:rFonts w:ascii="Times New Roman" w:hAnsi="Times New Roman"/>
          <w:sz w:val="28"/>
          <w:szCs w:val="28"/>
        </w:rPr>
        <w:t>по</w:t>
      </w:r>
      <w:proofErr w:type="gramEnd"/>
    </w:p>
    <w:p w:rsidR="00AD42AB" w:rsidRPr="007265B6" w:rsidRDefault="00AD42AB" w:rsidP="00AD42AB">
      <w:p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 xml:space="preserve">     территории Парка</w:t>
      </w:r>
    </w:p>
    <w:p w:rsidR="00A834AC" w:rsidRPr="007265B6" w:rsidRDefault="00D17273" w:rsidP="00AD42A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 xml:space="preserve">  Собственные складские помещения для хранения сырья и</w:t>
      </w:r>
    </w:p>
    <w:p w:rsidR="00AD42AB" w:rsidRPr="007265B6" w:rsidRDefault="00AD42AB" w:rsidP="00AD42AB">
      <w:p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lastRenderedPageBreak/>
        <w:t xml:space="preserve">     готовой продукции</w:t>
      </w:r>
    </w:p>
    <w:p w:rsidR="00A834AC" w:rsidRPr="007265B6" w:rsidRDefault="00D17273" w:rsidP="00AD42AB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 xml:space="preserve">  Сеть коммуникаций на территории Парка</w:t>
      </w:r>
    </w:p>
    <w:p w:rsidR="00A834AC" w:rsidRDefault="00D17273" w:rsidP="00AD42AB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265B6">
        <w:rPr>
          <w:rFonts w:ascii="Times New Roman" w:hAnsi="Times New Roman"/>
          <w:sz w:val="28"/>
          <w:szCs w:val="28"/>
        </w:rPr>
        <w:t xml:space="preserve">  Организованная охрана территории Парка</w:t>
      </w:r>
    </w:p>
    <w:p w:rsidR="000022FE" w:rsidRDefault="000022FE" w:rsidP="00C74A47">
      <w:pPr>
        <w:rPr>
          <w:rFonts w:ascii="Times New Roman" w:hAnsi="Times New Roman"/>
          <w:sz w:val="24"/>
          <w:szCs w:val="24"/>
        </w:rPr>
      </w:pPr>
    </w:p>
    <w:p w:rsidR="00AD42AB" w:rsidRPr="00AD42AB" w:rsidRDefault="009A4996" w:rsidP="009A499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Имеющиеся ресурсы Технопарка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2518"/>
        <w:gridCol w:w="2848"/>
      </w:tblGrid>
      <w:tr w:rsidR="00AD42AB" w:rsidRPr="00AD42AB" w:rsidTr="00AD42AB">
        <w:trPr>
          <w:trHeight w:val="114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b/>
                <w:bCs/>
                <w:color w:val="1F497D"/>
                <w:kern w:val="24"/>
                <w:sz w:val="32"/>
                <w:szCs w:val="32"/>
                <w:lang w:eastAsia="ru-RU"/>
              </w:rPr>
              <w:t xml:space="preserve">Ресурсы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b/>
                <w:bCs/>
                <w:color w:val="1F497D"/>
                <w:kern w:val="24"/>
                <w:sz w:val="32"/>
                <w:szCs w:val="32"/>
                <w:lang w:eastAsia="ru-RU"/>
              </w:rPr>
              <w:t xml:space="preserve">Общая мощность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9A4996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kern w:val="24"/>
                <w:sz w:val="32"/>
                <w:szCs w:val="32"/>
                <w:lang w:eastAsia="ru-RU"/>
              </w:rPr>
              <w:t>Резервная</w:t>
            </w:r>
            <w:r w:rsidR="00AD42AB" w:rsidRPr="00AD42AB">
              <w:rPr>
                <w:rFonts w:ascii="Times New Roman" w:eastAsia="Times New Roman" w:hAnsi="Times New Roman"/>
                <w:b/>
                <w:bCs/>
                <w:color w:val="1F497D"/>
                <w:kern w:val="24"/>
                <w:sz w:val="32"/>
                <w:szCs w:val="32"/>
                <w:lang w:eastAsia="ru-RU"/>
              </w:rPr>
              <w:t xml:space="preserve"> мощность </w:t>
            </w:r>
          </w:p>
        </w:tc>
      </w:tr>
      <w:tr w:rsidR="00AD42AB" w:rsidRPr="00AD42AB" w:rsidTr="00AD42AB">
        <w:trPr>
          <w:trHeight w:val="101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Природный газ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40 000 </w:t>
            </w:r>
            <w:proofErr w:type="spell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куб</w:t>
            </w:r>
            <w:proofErr w:type="gram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/ч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2</w:t>
            </w: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val="en-US" w:eastAsia="ru-RU"/>
              </w:rPr>
              <w:t>5</w:t>
            </w: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 000 </w:t>
            </w:r>
            <w:proofErr w:type="spell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куб</w:t>
            </w:r>
            <w:proofErr w:type="gram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/час </w:t>
            </w:r>
          </w:p>
        </w:tc>
      </w:tr>
      <w:tr w:rsidR="00AD42AB" w:rsidRPr="00AD42AB" w:rsidTr="00AD42AB">
        <w:trPr>
          <w:trHeight w:val="96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Электроэнергия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82,5 МВт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50 МВт </w:t>
            </w:r>
          </w:p>
        </w:tc>
      </w:tr>
      <w:tr w:rsidR="00AD42AB" w:rsidRPr="00AD42AB" w:rsidTr="00AD42AB">
        <w:trPr>
          <w:trHeight w:val="11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Теплоснабжение</w:t>
            </w:r>
          </w:p>
          <w:p w:rsidR="00AD42AB" w:rsidRPr="00AD42AB" w:rsidRDefault="00AD42AB" w:rsidP="00AD42AB">
            <w:pPr>
              <w:kinsoku w:val="0"/>
              <w:overflowPunct w:val="0"/>
              <w:spacing w:before="101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28"/>
                <w:szCs w:val="28"/>
                <w:lang w:eastAsia="ru-RU"/>
              </w:rPr>
              <w:t xml:space="preserve">(пар и теплофикация)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90 Гкал/час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val="en-US" w:eastAsia="ru-RU"/>
              </w:rPr>
              <w:t>35</w:t>
            </w: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 Гкал/час </w:t>
            </w:r>
          </w:p>
        </w:tc>
      </w:tr>
      <w:tr w:rsidR="00AD42AB" w:rsidRPr="00AD42AB" w:rsidTr="00AD42AB">
        <w:trPr>
          <w:trHeight w:val="143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Водоснабжение</w:t>
            </w:r>
          </w:p>
          <w:p w:rsidR="00AD42AB" w:rsidRPr="00AD42AB" w:rsidRDefault="00AD42AB" w:rsidP="00AD42AB">
            <w:pPr>
              <w:kinsoku w:val="0"/>
              <w:overflowPunct w:val="0"/>
              <w:spacing w:before="101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28"/>
                <w:szCs w:val="28"/>
                <w:lang w:eastAsia="ru-RU"/>
              </w:rPr>
              <w:t xml:space="preserve">(техническая и </w:t>
            </w:r>
            <w:proofErr w:type="spell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28"/>
                <w:szCs w:val="28"/>
                <w:lang w:eastAsia="ru-RU"/>
              </w:rPr>
              <w:t>пожарохозяйственная</w:t>
            </w:r>
            <w:proofErr w:type="spellEnd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700 </w:t>
            </w:r>
            <w:proofErr w:type="spell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куб</w:t>
            </w:r>
            <w:proofErr w:type="gram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/час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300 </w:t>
            </w:r>
            <w:proofErr w:type="spell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куб</w:t>
            </w:r>
            <w:proofErr w:type="gram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/час </w:t>
            </w:r>
          </w:p>
        </w:tc>
      </w:tr>
      <w:tr w:rsidR="00AD42AB" w:rsidRPr="00AD42AB" w:rsidTr="00AD42AB">
        <w:trPr>
          <w:trHeight w:val="101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Очистные сооружения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5 200 </w:t>
            </w:r>
            <w:proofErr w:type="spell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куб</w:t>
            </w:r>
            <w:proofErr w:type="gram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/час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9A4996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1200</w:t>
            </w:r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куб</w:t>
            </w:r>
            <w:proofErr w:type="gramStart"/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/час </w:t>
            </w:r>
          </w:p>
        </w:tc>
      </w:tr>
      <w:tr w:rsidR="00AD42AB" w:rsidRPr="00AD42AB" w:rsidTr="00AD42AB">
        <w:trPr>
          <w:trHeight w:val="89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Азот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250 </w:t>
            </w:r>
            <w:proofErr w:type="spell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куб</w:t>
            </w:r>
            <w:proofErr w:type="gram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/час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9A4996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100</w:t>
            </w:r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куб</w:t>
            </w:r>
            <w:proofErr w:type="gramStart"/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/час </w:t>
            </w:r>
          </w:p>
        </w:tc>
      </w:tr>
      <w:tr w:rsidR="00AD42AB" w:rsidRPr="00AD42AB" w:rsidTr="00AD42AB">
        <w:trPr>
          <w:trHeight w:val="89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Сжатый воздух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AD42AB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130 </w:t>
            </w:r>
            <w:proofErr w:type="spell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куб</w:t>
            </w:r>
            <w:proofErr w:type="gramStart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/мин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42AB" w:rsidRPr="00AD42AB" w:rsidRDefault="009A4996" w:rsidP="00AD42AB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7</w:t>
            </w:r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0 </w:t>
            </w:r>
            <w:proofErr w:type="spellStart"/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куб</w:t>
            </w:r>
            <w:proofErr w:type="gramStart"/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  <w:r w:rsidR="00AD42AB" w:rsidRPr="00AD42AB">
              <w:rPr>
                <w:rFonts w:ascii="Times New Roman" w:eastAsia="Times New Roman" w:hAnsi="Times New Roman"/>
                <w:color w:val="1F497D"/>
                <w:kern w:val="24"/>
                <w:sz w:val="32"/>
                <w:szCs w:val="32"/>
                <w:lang w:eastAsia="ru-RU"/>
              </w:rPr>
              <w:t xml:space="preserve">/мин </w:t>
            </w:r>
          </w:p>
        </w:tc>
      </w:tr>
    </w:tbl>
    <w:p w:rsidR="00AD42AB" w:rsidRDefault="00AD42AB" w:rsidP="001667E5">
      <w:pPr>
        <w:rPr>
          <w:rFonts w:ascii="Times New Roman" w:hAnsi="Times New Roman"/>
          <w:sz w:val="24"/>
          <w:szCs w:val="24"/>
        </w:rPr>
      </w:pPr>
    </w:p>
    <w:p w:rsidR="00C74A47" w:rsidRPr="00717E13" w:rsidRDefault="00717E13" w:rsidP="00717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E13">
        <w:rPr>
          <w:rFonts w:ascii="Times New Roman" w:hAnsi="Times New Roman"/>
          <w:sz w:val="28"/>
          <w:szCs w:val="28"/>
        </w:rPr>
        <w:t xml:space="preserve">Резервная мощность по энергоресурсам может удовлетворить практически любое энергоемкое производство. </w:t>
      </w:r>
    </w:p>
    <w:p w:rsidR="00C74A47" w:rsidRDefault="00C74A47" w:rsidP="00002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2FE" w:rsidRDefault="001667E5" w:rsidP="00002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5B6">
        <w:rPr>
          <w:rFonts w:ascii="Times New Roman" w:hAnsi="Times New Roman"/>
          <w:b/>
          <w:sz w:val="28"/>
          <w:szCs w:val="28"/>
        </w:rPr>
        <w:t>Проекты в действии на терри</w:t>
      </w:r>
      <w:r w:rsidR="009A4996">
        <w:rPr>
          <w:rFonts w:ascii="Times New Roman" w:hAnsi="Times New Roman"/>
          <w:b/>
          <w:sz w:val="28"/>
          <w:szCs w:val="28"/>
        </w:rPr>
        <w:t>тории Технопарка</w:t>
      </w:r>
    </w:p>
    <w:p w:rsidR="001667E5" w:rsidRPr="007265B6" w:rsidRDefault="001667E5" w:rsidP="001667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5B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9A4996" w:rsidRPr="009A4996" w:rsidRDefault="009A4996" w:rsidP="009A4996">
      <w:pPr>
        <w:spacing w:after="0" w:line="360" w:lineRule="auto"/>
        <w:jc w:val="both"/>
        <w:rPr>
          <w:rFonts w:ascii="Times New Roman" w:eastAsia="Times New Roman" w:hAnsi="Times New Roman"/>
          <w:color w:val="1F1A17"/>
          <w:sz w:val="28"/>
          <w:szCs w:val="28"/>
          <w:lang w:eastAsia="ru-RU"/>
        </w:rPr>
      </w:pPr>
      <w:r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площадке Технопарка</w:t>
      </w:r>
      <w:r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одновременно реализуются несколько крупных автономных проектов, направленных на создание современных экологически </w:t>
      </w:r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чистых и безопасных производств:</w:t>
      </w:r>
      <w:r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  </w:t>
      </w:r>
    </w:p>
    <w:p w:rsidR="009A4996" w:rsidRDefault="009A4996" w:rsidP="009A499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1F1A1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ООО</w:t>
      </w:r>
      <w:r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«</w:t>
      </w:r>
      <w:r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Уральского завода пластификаторов</w:t>
      </w:r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»</w:t>
      </w:r>
      <w:r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– в активной фазе строительство цеха по изготовлению кабельны</w:t>
      </w:r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х компаундов. Проект, нацелен</w:t>
      </w:r>
      <w:r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на производство готовой продукции более глубокой переработки, позволит создать 70 новых р</w:t>
      </w:r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абочих мест</w:t>
      </w:r>
      <w:r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в 2015 году, а также расширить как линейку товаров, так и географию поставок. </w:t>
      </w:r>
      <w:r w:rsidR="00AC37C4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Общий объем инвестиций составляет порядка 500 млн. руб.</w:t>
      </w:r>
      <w:r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</w:t>
      </w:r>
    </w:p>
    <w:p w:rsidR="00C74A47" w:rsidRDefault="00A220F3" w:rsidP="009A499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1F1A17"/>
          <w:sz w:val="28"/>
          <w:szCs w:val="28"/>
          <w:lang w:eastAsia="ru-RU"/>
        </w:rPr>
      </w:pPr>
      <w:r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ООО «</w:t>
      </w:r>
      <w:proofErr w:type="spellStart"/>
      <w:r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Уралхимпласт</w:t>
      </w:r>
      <w:proofErr w:type="spellEnd"/>
      <w:r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– </w:t>
      </w:r>
      <w:proofErr w:type="spellStart"/>
      <w:r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Хюттенес</w:t>
      </w:r>
      <w:proofErr w:type="spellEnd"/>
      <w:r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</w:t>
      </w:r>
      <w:proofErr w:type="spellStart"/>
      <w:r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Альбертус</w:t>
      </w:r>
      <w:proofErr w:type="spellEnd"/>
      <w:r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»</w:t>
      </w:r>
      <w:r w:rsidR="00C40F2D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реализует проект по строительству</w:t>
      </w:r>
      <w:r w:rsidR="009A4996"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высокотехнологичного автоматизированного производства комплекса химической продукц</w:t>
      </w:r>
      <w:r w:rsidR="00C40F2D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ии для литейной промышленности</w:t>
      </w:r>
      <w:r w:rsidR="009A4996"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, основными нап</w:t>
      </w:r>
      <w:r w:rsidR="00AC37C4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равлениями деятельности</w:t>
      </w:r>
      <w:r w:rsidR="009A4996"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являются производство и реализация литейных связующих, материалов для литья черных и цветных металлов и комплементарных товаров. Компания предоставляет рынкам России и стран СНГ передовые комплексные решения, основанные на специфических требованиях заказчиков. При реализации проекта резидент </w:t>
      </w:r>
      <w:proofErr w:type="spellStart"/>
      <w:r w:rsidR="009A4996"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ХимПарка</w:t>
      </w:r>
      <w:proofErr w:type="spellEnd"/>
      <w:r w:rsidR="009A4996"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сохранит долю рынка литейных связующих не менее 50% (с динамикой роста рынка на 10-15% в год) и увеличит до 40% долю рынка противопригарных покрытий. </w:t>
      </w:r>
      <w:r w:rsidR="00AC37C4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В 2015-2016 годы, будет реализован первый этап проекта – производство противопригарных покрытий. Стоимость проекта оценивается в 160 </w:t>
      </w:r>
      <w:proofErr w:type="spellStart"/>
      <w:r w:rsidR="00AC37C4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млн</w:t>
      </w:r>
      <w:proofErr w:type="gramStart"/>
      <w:r w:rsidR="00AC37C4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.р</w:t>
      </w:r>
      <w:proofErr w:type="gramEnd"/>
      <w:r w:rsidR="00AC37C4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уб</w:t>
      </w:r>
      <w:proofErr w:type="spellEnd"/>
      <w:r w:rsidR="00AC37C4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. Параллельно ведутся работы по ПСД на второй этап проекта – производство связующих</w:t>
      </w:r>
      <w:r w:rsidR="00002B5E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мощностью 30 тыс. тонн в год. </w:t>
      </w:r>
      <w:r w:rsidR="00AC37C4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 </w:t>
      </w:r>
      <w:r w:rsidR="009A4996"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Продукция «</w:t>
      </w:r>
      <w:proofErr w:type="spellStart"/>
      <w:r w:rsidR="009A4996"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Уралхимпласт-Хюттенес</w:t>
      </w:r>
      <w:proofErr w:type="spellEnd"/>
      <w:r w:rsidR="009A4996"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</w:t>
      </w:r>
      <w:proofErr w:type="spellStart"/>
      <w:r w:rsidR="009A4996"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Альбертус</w:t>
      </w:r>
      <w:proofErr w:type="spellEnd"/>
      <w:r w:rsidR="009A4996" w:rsidRPr="009A4996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» будет соответствовать международным стандартам, при этом сможет заменить импортные аналоги.</w:t>
      </w:r>
    </w:p>
    <w:p w:rsidR="00AD42AB" w:rsidRPr="00C74A47" w:rsidRDefault="00C74A47" w:rsidP="00AD42AB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1F1A1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ООО</w:t>
      </w:r>
      <w:r w:rsidR="009A4996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«</w:t>
      </w:r>
      <w:proofErr w:type="spellStart"/>
      <w:r w:rsidR="009A4996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Уралхимпласт</w:t>
      </w:r>
      <w:proofErr w:type="spellEnd"/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-АМДОР», завершает</w:t>
      </w:r>
      <w:r w:rsidR="009A4996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</w:t>
      </w:r>
      <w:proofErr w:type="spellStart"/>
      <w:r w:rsidR="009A4996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техперевооружение</w:t>
      </w:r>
      <w:proofErr w:type="spellEnd"/>
      <w:r w:rsidR="009A4996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 xml:space="preserve"> производства ингибиторов коррозии и дорожных реагентов, в результате чего мощности существующего производства увеличатся в 2 раза уже в </w:t>
      </w:r>
      <w:r w:rsidR="009A4996" w:rsidRPr="00C74A47"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lastRenderedPageBreak/>
        <w:t xml:space="preserve">2015 году. Это позволит компании в длительной перспективе прочно удерживать позиции на рынках, принять активное участие в реализации планов Правительства РФ по развитию дорожной инфраструктуры страны. УХП-АМДОР специализируется на промышленном выпуске и поставках ингибиторов коррозии («АМДОР-ИК», «ИНКОРГАЗ»), адгезионных присадок («АМДОР-9») и эмульгаторов катионных битумных эмульсий (серия «АМДОР-ЭМ»). Клиентами СП являются крупнейшие российские компании в сфере дорожного строительства и нефтегазового сектора.  </w:t>
      </w:r>
    </w:p>
    <w:p w:rsidR="00314459" w:rsidRDefault="00314459" w:rsidP="00AD42AB">
      <w:pPr>
        <w:jc w:val="both"/>
        <w:rPr>
          <w:rFonts w:ascii="Times New Roman" w:hAnsi="Times New Roman"/>
          <w:sz w:val="28"/>
          <w:szCs w:val="28"/>
        </w:rPr>
      </w:pPr>
    </w:p>
    <w:p w:rsidR="00AD42AB" w:rsidRPr="00314459" w:rsidRDefault="00314459" w:rsidP="0031445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459">
        <w:rPr>
          <w:rFonts w:ascii="Times New Roman" w:hAnsi="Times New Roman"/>
          <w:b/>
          <w:sz w:val="28"/>
          <w:szCs w:val="28"/>
        </w:rPr>
        <w:t>Существующие</w:t>
      </w:r>
      <w:r>
        <w:rPr>
          <w:rFonts w:ascii="Times New Roman" w:hAnsi="Times New Roman"/>
          <w:b/>
          <w:sz w:val="28"/>
          <w:szCs w:val="28"/>
        </w:rPr>
        <w:t xml:space="preserve"> и перспективные</w:t>
      </w:r>
      <w:r w:rsidRPr="00314459">
        <w:rPr>
          <w:rFonts w:ascii="Times New Roman" w:hAnsi="Times New Roman"/>
          <w:b/>
          <w:sz w:val="28"/>
          <w:szCs w:val="28"/>
        </w:rPr>
        <w:t xml:space="preserve"> с</w:t>
      </w:r>
      <w:r w:rsidR="00AD42AB" w:rsidRPr="00314459">
        <w:rPr>
          <w:rFonts w:ascii="Times New Roman" w:hAnsi="Times New Roman"/>
          <w:b/>
          <w:sz w:val="28"/>
          <w:szCs w:val="28"/>
        </w:rPr>
        <w:t>ервисы:</w:t>
      </w:r>
    </w:p>
    <w:p w:rsidR="00AD42AB" w:rsidRDefault="00AD42AB" w:rsidP="003144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2AB">
        <w:rPr>
          <w:rFonts w:ascii="Times New Roman" w:hAnsi="Times New Roman"/>
          <w:sz w:val="28"/>
          <w:szCs w:val="28"/>
        </w:rPr>
        <w:t>Основными задачами резидента являются: исследования, маркетинг, производство и продажи. Профессиональная управляющая компания «Химический парк Тагил», позволяет резидентам сосредоточится на своих центральных задачах. Управляющая компания на сегодняшний день оказывает следующий спектр услуг:  экологические услуги, снабжение энергетическими</w:t>
      </w:r>
      <w:r w:rsidR="00C74A47">
        <w:rPr>
          <w:rFonts w:ascii="Times New Roman" w:hAnsi="Times New Roman"/>
          <w:sz w:val="28"/>
          <w:szCs w:val="28"/>
        </w:rPr>
        <w:t xml:space="preserve"> ресурсами</w:t>
      </w:r>
      <w:r w:rsidRPr="00AD42AB">
        <w:rPr>
          <w:rFonts w:ascii="Times New Roman" w:hAnsi="Times New Roman"/>
          <w:sz w:val="28"/>
          <w:szCs w:val="28"/>
        </w:rPr>
        <w:t xml:space="preserve">, услуги  отдела охраны труда и промышленной безопасности, юридические услуги, ремонтные услуги. Резиденты имеют возможность пользоваться надежной инфраструктурой </w:t>
      </w:r>
      <w:proofErr w:type="spellStart"/>
      <w:r w:rsidRPr="00AD42AB">
        <w:rPr>
          <w:rFonts w:ascii="Times New Roman" w:hAnsi="Times New Roman"/>
          <w:sz w:val="28"/>
          <w:szCs w:val="28"/>
        </w:rPr>
        <w:t>ХимПарка</w:t>
      </w:r>
      <w:proofErr w:type="spellEnd"/>
      <w:r w:rsidRPr="00AD42AB">
        <w:rPr>
          <w:rFonts w:ascii="Times New Roman" w:hAnsi="Times New Roman"/>
          <w:sz w:val="28"/>
          <w:szCs w:val="28"/>
        </w:rPr>
        <w:t xml:space="preserve">. К услугам резидентов собственная пожарная часть, спортивный и медицинский комплексы. </w:t>
      </w:r>
    </w:p>
    <w:p w:rsidR="00792CBA" w:rsidRDefault="00792CBA" w:rsidP="003144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перспективе трех лет, в связи с видимой потребностью, Управляющая компания будет оказывать услуги по мойке контейнеров, железнодорожных цистерн, складской логистике, доставке работников автотранспортом, взвешивание ж\д цистерн, вагонов, автотранспорта. </w:t>
      </w:r>
    </w:p>
    <w:p w:rsidR="000022FE" w:rsidRDefault="00792CBA" w:rsidP="00D12FD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Немаловажную роль сегодня играет научная база </w:t>
      </w:r>
      <w:proofErr w:type="spellStart"/>
      <w:r>
        <w:rPr>
          <w:rFonts w:ascii="Times New Roman" w:hAnsi="Times New Roman"/>
          <w:sz w:val="28"/>
          <w:szCs w:val="28"/>
        </w:rPr>
        <w:t>ХимПарка</w:t>
      </w:r>
      <w:proofErr w:type="spellEnd"/>
      <w:r>
        <w:rPr>
          <w:rFonts w:ascii="Times New Roman" w:hAnsi="Times New Roman"/>
          <w:sz w:val="28"/>
          <w:szCs w:val="28"/>
        </w:rPr>
        <w:t xml:space="preserve"> «Тагил». Сегодня она базируется на мощностях базового резидента </w:t>
      </w:r>
      <w:proofErr w:type="spellStart"/>
      <w:r>
        <w:rPr>
          <w:rFonts w:ascii="Times New Roman" w:hAnsi="Times New Roman"/>
          <w:sz w:val="28"/>
          <w:szCs w:val="28"/>
        </w:rPr>
        <w:t>ХимПарка</w:t>
      </w:r>
      <w:proofErr w:type="spellEnd"/>
      <w:r>
        <w:rPr>
          <w:rFonts w:ascii="Times New Roman" w:hAnsi="Times New Roman"/>
          <w:sz w:val="28"/>
          <w:szCs w:val="28"/>
        </w:rPr>
        <w:t xml:space="preserve"> ОАО «</w:t>
      </w:r>
      <w:proofErr w:type="spellStart"/>
      <w:r>
        <w:rPr>
          <w:rFonts w:ascii="Times New Roman" w:hAnsi="Times New Roman"/>
          <w:sz w:val="28"/>
          <w:szCs w:val="28"/>
        </w:rPr>
        <w:t>Уралхимпласт</w:t>
      </w:r>
      <w:proofErr w:type="spellEnd"/>
      <w:r>
        <w:rPr>
          <w:rFonts w:ascii="Times New Roman" w:hAnsi="Times New Roman"/>
          <w:sz w:val="28"/>
          <w:szCs w:val="28"/>
        </w:rPr>
        <w:t xml:space="preserve">». Центральная лаборатория предприятия проводит различные исследования. </w:t>
      </w:r>
      <w:r w:rsidR="007265B6">
        <w:rPr>
          <w:rFonts w:ascii="Times New Roman" w:hAnsi="Times New Roman"/>
          <w:sz w:val="28"/>
          <w:szCs w:val="28"/>
        </w:rPr>
        <w:t>В плане развития Химического парка</w:t>
      </w:r>
      <w:r w:rsidR="009E4D9B">
        <w:rPr>
          <w:rFonts w:ascii="Times New Roman" w:hAnsi="Times New Roman"/>
          <w:sz w:val="28"/>
          <w:szCs w:val="28"/>
        </w:rPr>
        <w:t>,</w:t>
      </w:r>
      <w:r w:rsidR="007265B6">
        <w:rPr>
          <w:rFonts w:ascii="Times New Roman" w:hAnsi="Times New Roman"/>
          <w:sz w:val="28"/>
          <w:szCs w:val="28"/>
        </w:rPr>
        <w:t xml:space="preserve"> </w:t>
      </w:r>
      <w:r w:rsidR="007265B6">
        <w:rPr>
          <w:rFonts w:ascii="Times New Roman" w:hAnsi="Times New Roman"/>
          <w:sz w:val="28"/>
          <w:szCs w:val="28"/>
        </w:rPr>
        <w:lastRenderedPageBreak/>
        <w:t>совершенствование лаборатории с увеличением штата работников, ориентированны</w:t>
      </w:r>
      <w:r w:rsidR="009E4D9B">
        <w:rPr>
          <w:rFonts w:ascii="Times New Roman" w:hAnsi="Times New Roman"/>
          <w:sz w:val="28"/>
          <w:szCs w:val="28"/>
        </w:rPr>
        <w:t>х</w:t>
      </w:r>
      <w:r w:rsidR="007265B6">
        <w:rPr>
          <w:rFonts w:ascii="Times New Roman" w:hAnsi="Times New Roman"/>
          <w:sz w:val="28"/>
          <w:szCs w:val="28"/>
        </w:rPr>
        <w:t xml:space="preserve"> на основные направления развития </w:t>
      </w:r>
      <w:proofErr w:type="spellStart"/>
      <w:r w:rsidR="007265B6">
        <w:rPr>
          <w:rFonts w:ascii="Times New Roman" w:hAnsi="Times New Roman"/>
          <w:sz w:val="28"/>
          <w:szCs w:val="28"/>
        </w:rPr>
        <w:t>Химпарка</w:t>
      </w:r>
      <w:proofErr w:type="spellEnd"/>
      <w:r w:rsidR="007265B6">
        <w:rPr>
          <w:rFonts w:ascii="Times New Roman" w:hAnsi="Times New Roman"/>
          <w:sz w:val="28"/>
          <w:szCs w:val="28"/>
        </w:rPr>
        <w:t xml:space="preserve">. </w:t>
      </w:r>
      <w:r w:rsidR="0043090D">
        <w:rPr>
          <w:rFonts w:ascii="Times New Roman" w:hAnsi="Times New Roman"/>
          <w:sz w:val="28"/>
          <w:szCs w:val="28"/>
        </w:rPr>
        <w:t>С февраля 2014 года, центральная лаборатория является аккредитованным Центром коллективного пользования (ЦКП) Технопарка «</w:t>
      </w:r>
      <w:proofErr w:type="spellStart"/>
      <w:r w:rsidR="0043090D">
        <w:rPr>
          <w:rFonts w:ascii="Times New Roman" w:hAnsi="Times New Roman"/>
          <w:sz w:val="28"/>
          <w:szCs w:val="28"/>
        </w:rPr>
        <w:t>Сколково</w:t>
      </w:r>
      <w:proofErr w:type="spellEnd"/>
      <w:r w:rsidR="0043090D">
        <w:rPr>
          <w:rFonts w:ascii="Times New Roman" w:hAnsi="Times New Roman"/>
          <w:sz w:val="28"/>
          <w:szCs w:val="28"/>
        </w:rPr>
        <w:t>» и предоставляет более 80 видов исследований физико-химических свойств веществ, для Резидентов «</w:t>
      </w:r>
      <w:proofErr w:type="spellStart"/>
      <w:r w:rsidR="0043090D">
        <w:rPr>
          <w:rFonts w:ascii="Times New Roman" w:hAnsi="Times New Roman"/>
          <w:sz w:val="28"/>
          <w:szCs w:val="28"/>
        </w:rPr>
        <w:t>Сколково</w:t>
      </w:r>
      <w:proofErr w:type="spellEnd"/>
      <w:r w:rsidR="0043090D">
        <w:rPr>
          <w:rFonts w:ascii="Times New Roman" w:hAnsi="Times New Roman"/>
          <w:sz w:val="28"/>
          <w:szCs w:val="28"/>
        </w:rPr>
        <w:t xml:space="preserve">».  </w:t>
      </w:r>
      <w:r w:rsidR="00D12FD8">
        <w:rPr>
          <w:rFonts w:ascii="Times New Roman" w:hAnsi="Times New Roman"/>
          <w:sz w:val="28"/>
          <w:szCs w:val="28"/>
        </w:rPr>
        <w:t>Деятельность Технопарка в структуре «</w:t>
      </w:r>
      <w:proofErr w:type="spellStart"/>
      <w:r w:rsidR="00D12FD8">
        <w:rPr>
          <w:rFonts w:ascii="Times New Roman" w:hAnsi="Times New Roman"/>
          <w:sz w:val="28"/>
          <w:szCs w:val="28"/>
        </w:rPr>
        <w:t>Сколково</w:t>
      </w:r>
      <w:proofErr w:type="spellEnd"/>
      <w:r w:rsidR="00D12FD8">
        <w:rPr>
          <w:rFonts w:ascii="Times New Roman" w:hAnsi="Times New Roman"/>
          <w:sz w:val="28"/>
          <w:szCs w:val="28"/>
        </w:rPr>
        <w:t xml:space="preserve">» не ограничивается сервисами ЦКП. Помимо исследований, </w:t>
      </w:r>
      <w:proofErr w:type="spellStart"/>
      <w:r w:rsidR="00D12FD8">
        <w:rPr>
          <w:rFonts w:ascii="Times New Roman" w:hAnsi="Times New Roman"/>
          <w:sz w:val="28"/>
          <w:szCs w:val="28"/>
        </w:rPr>
        <w:t>Химпарк</w:t>
      </w:r>
      <w:proofErr w:type="spellEnd"/>
      <w:r w:rsidR="00D12FD8">
        <w:rPr>
          <w:rFonts w:ascii="Times New Roman" w:hAnsi="Times New Roman"/>
          <w:sz w:val="28"/>
          <w:szCs w:val="28"/>
        </w:rPr>
        <w:t xml:space="preserve"> Тагил предлагает Резидентам  «</w:t>
      </w:r>
      <w:proofErr w:type="spellStart"/>
      <w:r w:rsidR="00D12FD8">
        <w:rPr>
          <w:rFonts w:ascii="Times New Roman" w:hAnsi="Times New Roman"/>
          <w:sz w:val="28"/>
          <w:szCs w:val="28"/>
        </w:rPr>
        <w:t>Сколково</w:t>
      </w:r>
      <w:proofErr w:type="spellEnd"/>
      <w:r w:rsidR="00D12FD8">
        <w:rPr>
          <w:rFonts w:ascii="Times New Roman" w:hAnsi="Times New Roman"/>
          <w:sz w:val="28"/>
          <w:szCs w:val="28"/>
        </w:rPr>
        <w:t xml:space="preserve">» размещать и апробировать опытно-промышленные установки с целью дальнейшего производства инновационных товаров и услуг и выводу их на профильные рынки. </w:t>
      </w:r>
    </w:p>
    <w:p w:rsidR="000022FE" w:rsidRDefault="000022FE" w:rsidP="00AD42AB">
      <w:pPr>
        <w:jc w:val="both"/>
        <w:rPr>
          <w:rFonts w:ascii="Times New Roman" w:hAnsi="Times New Roman"/>
          <w:sz w:val="28"/>
          <w:szCs w:val="28"/>
        </w:rPr>
      </w:pPr>
    </w:p>
    <w:p w:rsidR="00D12FD8" w:rsidRPr="000022FE" w:rsidRDefault="00D12FD8" w:rsidP="00D12F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Финансовый прогноз развития </w:t>
      </w:r>
      <w:r w:rsidRPr="000022FE">
        <w:rPr>
          <w:rFonts w:ascii="Times New Roman" w:hAnsi="Times New Roman"/>
          <w:b/>
          <w:sz w:val="28"/>
          <w:szCs w:val="28"/>
        </w:rPr>
        <w:t>АО Управляющая компания «Химический парк Тагил»</w:t>
      </w:r>
    </w:p>
    <w:tbl>
      <w:tblPr>
        <w:tblW w:w="10221" w:type="dxa"/>
        <w:tblInd w:w="-856" w:type="dxa"/>
        <w:tblLook w:val="04A0" w:firstRow="1" w:lastRow="0" w:firstColumn="1" w:lastColumn="0" w:noHBand="0" w:noVBand="1"/>
      </w:tblPr>
      <w:tblGrid>
        <w:gridCol w:w="3276"/>
        <w:gridCol w:w="992"/>
        <w:gridCol w:w="992"/>
        <w:gridCol w:w="992"/>
        <w:gridCol w:w="993"/>
        <w:gridCol w:w="992"/>
        <w:gridCol w:w="992"/>
        <w:gridCol w:w="992"/>
      </w:tblGrid>
      <w:tr w:rsidR="00D12FD8" w:rsidRPr="00E34E85" w:rsidTr="00D12FD8">
        <w:trPr>
          <w:trHeight w:val="285"/>
        </w:trPr>
        <w:tc>
          <w:tcPr>
            <w:tcW w:w="3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00FF"/>
            <w:vAlign w:val="center"/>
            <w:hideMark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>Тыс</w:t>
            </w:r>
            <w:r w:rsidRPr="00D12FD8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000FF"/>
            <w:vAlign w:val="center"/>
            <w:hideMark/>
          </w:tcPr>
          <w:p w:rsidR="00D12FD8" w:rsidRPr="00D12FD8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 xml:space="preserve">Итог </w:t>
            </w:r>
            <w:r w:rsidRPr="00D12FD8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92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000FF"/>
            <w:vAlign w:val="center"/>
            <w:hideMark/>
          </w:tcPr>
          <w:p w:rsidR="00D12FD8" w:rsidRPr="00D12FD8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>Итог</w:t>
            </w:r>
            <w:r w:rsidRPr="00D12FD8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 xml:space="preserve"> 2013</w:t>
            </w:r>
          </w:p>
        </w:tc>
        <w:tc>
          <w:tcPr>
            <w:tcW w:w="992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000FF"/>
            <w:vAlign w:val="center"/>
            <w:hideMark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>Итог</w:t>
            </w:r>
            <w:r w:rsidRPr="00D12FD8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r w:rsidRPr="00E34E8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ru-RU"/>
              </w:rPr>
              <w:t>2014</w:t>
            </w:r>
          </w:p>
        </w:tc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000FF"/>
            <w:vAlign w:val="center"/>
            <w:hideMark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>План</w:t>
            </w:r>
            <w:r w:rsidRPr="00E34E8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ru-RU"/>
              </w:rPr>
              <w:t xml:space="preserve"> 2015</w:t>
            </w:r>
          </w:p>
        </w:tc>
        <w:tc>
          <w:tcPr>
            <w:tcW w:w="992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000FF"/>
            <w:vAlign w:val="center"/>
            <w:hideMark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>План</w:t>
            </w:r>
            <w:r w:rsidRPr="00E34E8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ru-RU"/>
              </w:rPr>
              <w:t xml:space="preserve"> 2016</w:t>
            </w:r>
          </w:p>
        </w:tc>
        <w:tc>
          <w:tcPr>
            <w:tcW w:w="992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000FF"/>
            <w:vAlign w:val="center"/>
            <w:hideMark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>План</w:t>
            </w:r>
            <w:r w:rsidRPr="00E34E8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ru-RU"/>
              </w:rPr>
              <w:t xml:space="preserve"> 2017</w:t>
            </w:r>
          </w:p>
        </w:tc>
        <w:tc>
          <w:tcPr>
            <w:tcW w:w="992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000000" w:fill="0000FF"/>
            <w:vAlign w:val="center"/>
            <w:hideMark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ru-RU"/>
              </w:rPr>
              <w:t>План</w:t>
            </w:r>
            <w:r w:rsidRPr="00E34E8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US" w:eastAsia="ru-RU"/>
              </w:rPr>
              <w:t xml:space="preserve"> 2018</w:t>
            </w:r>
          </w:p>
        </w:tc>
      </w:tr>
      <w:tr w:rsidR="00D12FD8" w:rsidRPr="00E34E85" w:rsidTr="00D12FD8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E34E85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D12FD8" w:rsidRPr="00E34E85" w:rsidRDefault="00D12FD8" w:rsidP="001B66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фин</w:t>
            </w:r>
            <w:proofErr w:type="gramStart"/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.к</w:t>
            </w:r>
            <w:proofErr w:type="gramEnd"/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онтроллинга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320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1 920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2 112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2 429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2 793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3 212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Услуги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СБ</w:t>
            </w:r>
            <w:proofErr w:type="gramEnd"/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, МСФО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21 567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21 804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21 804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21 804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25 075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28 836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33 161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Услуги по проекту </w:t>
            </w:r>
            <w:proofErr w:type="spellStart"/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Химпарк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12 200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10 820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12 558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14 436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16 601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19 092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21 955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Юридические услуги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2 929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1 578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1 664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1 560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1 794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2 063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2 373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Агентское вознаграждение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2 235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7 984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10 210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8 552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10 124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12 149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14 944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ru-RU"/>
              </w:rPr>
              <w:t xml:space="preserve">Выручка от резидентов, в </w:t>
            </w:r>
            <w:proofErr w:type="spellStart"/>
            <w:r w:rsidRPr="00BA7509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ru-RU"/>
              </w:rPr>
              <w:t>т</w:t>
            </w:r>
            <w:proofErr w:type="gramStart"/>
            <w:r w:rsidRPr="00BA7509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BA7509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  <w:t xml:space="preserve">44 260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  <w:t xml:space="preserve">53 422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  <w:t xml:space="preserve">57 185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  <w:t xml:space="preserve">110 047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  <w:t xml:space="preserve">126 554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  <w:t xml:space="preserve">151 865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ru-RU"/>
              </w:rPr>
              <w:t xml:space="preserve">186 794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       </w:t>
            </w:r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>- Мойка тары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539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454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1 362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1 567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1 880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2 312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       </w:t>
            </w:r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>- Аренда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13 498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17 294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16 298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17 538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20 168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24 202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29 768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- Энергоресурсы (пар, </w:t>
            </w:r>
            <w:proofErr w:type="spellStart"/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>гвс</w:t>
            </w:r>
            <w:proofErr w:type="spellEnd"/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, азот, </w:t>
            </w:r>
            <w:proofErr w:type="spellStart"/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>сж</w:t>
            </w:r>
            <w:proofErr w:type="spellEnd"/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>воздух, вода)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25 697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34 348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30 288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80 460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92 529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111 034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136 572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>- Утилизация отходов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686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376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376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433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519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639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       </w:t>
            </w:r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- Услуги столовой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4 404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4 683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5 168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5 168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5 943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7 132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8 772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       </w:t>
            </w:r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- Услуги УТОПС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1 892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1 329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1 605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1 859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2 138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2 565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3 156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BA7509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ru-RU"/>
              </w:rPr>
              <w:t>- услуги склада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2 490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3 179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3 284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3 284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3 777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4 532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ru-RU"/>
              </w:rPr>
              <w:t xml:space="preserve">5 575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Выручка всего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38 931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42 506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48 156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48 464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56 023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64 933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75 645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Итого доход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38 931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42 506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48 156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48 464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56 023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64 933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75 645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300" w:firstLine="600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ru-RU"/>
              </w:rPr>
              <w:t>МП 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i/>
                <w:iCs/>
                <w:color w:val="008000"/>
                <w:sz w:val="20"/>
                <w:szCs w:val="20"/>
                <w:lang w:eastAsia="ru-RU"/>
              </w:rPr>
              <w:t>100%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Маржинальная прибыль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38 931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42 506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48 156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48 464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56 023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64 933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75 645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Сырье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Себестоимость товаров для перепродажи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Прочие переменные затраты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Расходы на доставку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Поправка на движение ТМЦ (</w:t>
            </w:r>
            <w:proofErr w:type="spellStart"/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перем</w:t>
            </w:r>
            <w:proofErr w:type="spellEnd"/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часть)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Валовая выручка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38 931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42 506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48 156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48 464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56 023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64 933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75 645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Расходы на продажу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Расходы на маркетинг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(384)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(29)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(425)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(425)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(425)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(425)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(425)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Валовая прибыль (за </w:t>
            </w:r>
            <w:proofErr w:type="spellStart"/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искл</w:t>
            </w:r>
            <w:proofErr w:type="spellEnd"/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Коммер</w:t>
            </w:r>
            <w:proofErr w:type="spellEnd"/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Расх</w:t>
            </w:r>
            <w:proofErr w:type="spellEnd"/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) 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38 546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42 477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47 731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48 040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55 599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64 508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75 220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Содержание и ремонты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Энергетика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Затраты на персонал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(33 152)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(34 498)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(39 384)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(40 271)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(46 312)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(53 259)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(61 248)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(51)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(64)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(19)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(19)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(19)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Прочие постоянные затраты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(4 081)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(5 894)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(6 619)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(5 503)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(6 328)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(7 278)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(8 369)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Прочие операционные прибыли, убытки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(128)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(581)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Прибыль от </w:t>
            </w:r>
            <w:proofErr w:type="gramStart"/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курсовых</w:t>
            </w:r>
            <w:proofErr w:type="gramEnd"/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разниц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Убыток от </w:t>
            </w:r>
            <w:proofErr w:type="gramStart"/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курсовых</w:t>
            </w:r>
            <w:proofErr w:type="gramEnd"/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разниц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Поправка на движение ТМЦ (пост часть)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Всего постоянных расходов (без </w:t>
            </w:r>
            <w:proofErr w:type="spellStart"/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коммер</w:t>
            </w:r>
            <w:proofErr w:type="spellEnd"/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(37 295)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(40 600)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(46 622)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(45 793)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(52 659)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(60 555)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(69 636)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Результат от операционной деятельности (EBIT)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1 251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1 877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1 109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2 247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2 939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3 953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5 584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1 302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1 941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1 128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2 247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2 939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3 953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5 584 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Доходы по процентам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Расходы по процентам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Прочие чистые финансовые расходы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Чистая финансовая прибыль (убыток)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D12FD8" w:rsidRPr="00BA7509" w:rsidRDefault="00D12FD8" w:rsidP="001B66A4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Расходы по налогу на прибыль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(581)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(281)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(185)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(449)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(588)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(791)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(1 117)</w:t>
            </w:r>
          </w:p>
        </w:tc>
      </w:tr>
      <w:tr w:rsidR="00D12FD8" w:rsidRPr="00BA7509" w:rsidTr="00D12FD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670 </w:t>
            </w:r>
          </w:p>
        </w:tc>
        <w:tc>
          <w:tcPr>
            <w:tcW w:w="99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1 596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925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1 797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2 351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3 162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12FD8" w:rsidRPr="00BA7509" w:rsidRDefault="00D12FD8" w:rsidP="001B66A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BA750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4 468 </w:t>
            </w:r>
          </w:p>
        </w:tc>
      </w:tr>
    </w:tbl>
    <w:p w:rsidR="00D12FD8" w:rsidRDefault="00D12FD8" w:rsidP="00D12F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12FD8" w:rsidRPr="0090370E" w:rsidRDefault="00D12FD8" w:rsidP="00D12F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развития АО УК «Химический парк</w:t>
      </w:r>
      <w:r w:rsidRPr="0090370E">
        <w:rPr>
          <w:rFonts w:ascii="Times New Roman" w:hAnsi="Times New Roman"/>
          <w:sz w:val="28"/>
          <w:szCs w:val="28"/>
        </w:rPr>
        <w:t xml:space="preserve"> Тагил» строится главным образом на увеличении потребления и, соответственно, выручки от </w:t>
      </w:r>
      <w:r>
        <w:rPr>
          <w:rFonts w:ascii="Times New Roman" w:hAnsi="Times New Roman"/>
          <w:sz w:val="28"/>
          <w:szCs w:val="28"/>
        </w:rPr>
        <w:t>реализации по основным услугам Технопарка</w:t>
      </w:r>
      <w:r w:rsidRPr="0090370E">
        <w:rPr>
          <w:rFonts w:ascii="Times New Roman" w:hAnsi="Times New Roman"/>
          <w:sz w:val="28"/>
          <w:szCs w:val="28"/>
        </w:rPr>
        <w:t>:</w:t>
      </w:r>
    </w:p>
    <w:p w:rsidR="00D12FD8" w:rsidRPr="00845B36" w:rsidRDefault="00D12FD8" w:rsidP="00D12FD8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Энергоресурсы (пар, горячее водоснабжение</w:t>
      </w:r>
      <w:r w:rsidRPr="0090370E">
        <w:rPr>
          <w:rFonts w:ascii="Times New Roman" w:hAnsi="Times New Roman"/>
          <w:sz w:val="28"/>
          <w:szCs w:val="28"/>
        </w:rPr>
        <w:t xml:space="preserve">, азот, </w:t>
      </w:r>
      <w:proofErr w:type="spellStart"/>
      <w:r w:rsidRPr="0090370E">
        <w:rPr>
          <w:rFonts w:ascii="Times New Roman" w:hAnsi="Times New Roman"/>
          <w:sz w:val="28"/>
          <w:szCs w:val="28"/>
        </w:rPr>
        <w:t>сж</w:t>
      </w:r>
      <w:proofErr w:type="gramStart"/>
      <w:r w:rsidRPr="0090370E">
        <w:rPr>
          <w:rFonts w:ascii="Times New Roman" w:hAnsi="Times New Roman"/>
          <w:sz w:val="28"/>
          <w:szCs w:val="28"/>
        </w:rPr>
        <w:t>.в</w:t>
      </w:r>
      <w:proofErr w:type="gramEnd"/>
      <w:r w:rsidRPr="0090370E">
        <w:rPr>
          <w:rFonts w:ascii="Times New Roman" w:hAnsi="Times New Roman"/>
          <w:sz w:val="28"/>
          <w:szCs w:val="28"/>
        </w:rPr>
        <w:t>оздух</w:t>
      </w:r>
      <w:proofErr w:type="spellEnd"/>
      <w:r w:rsidRPr="0090370E">
        <w:rPr>
          <w:rFonts w:ascii="Times New Roman" w:hAnsi="Times New Roman"/>
          <w:sz w:val="28"/>
          <w:szCs w:val="28"/>
        </w:rPr>
        <w:t xml:space="preserve">, вода). Рост суммарного объема потребления за </w:t>
      </w:r>
      <w:r>
        <w:rPr>
          <w:rFonts w:ascii="Times New Roman" w:hAnsi="Times New Roman"/>
          <w:sz w:val="28"/>
          <w:szCs w:val="28"/>
        </w:rPr>
        <w:t>счет ввода новых мощностей на ОО</w:t>
      </w:r>
      <w:r w:rsidRPr="0090370E">
        <w:rPr>
          <w:rFonts w:ascii="Times New Roman" w:hAnsi="Times New Roman"/>
          <w:sz w:val="28"/>
          <w:szCs w:val="28"/>
        </w:rPr>
        <w:t>О «</w:t>
      </w:r>
      <w:r>
        <w:rPr>
          <w:rFonts w:ascii="Times New Roman" w:hAnsi="Times New Roman"/>
          <w:sz w:val="28"/>
          <w:szCs w:val="28"/>
        </w:rPr>
        <w:t>Уральский завод пластификаторов</w:t>
      </w:r>
      <w:r w:rsidRPr="0090370E">
        <w:rPr>
          <w:rFonts w:ascii="Times New Roman" w:hAnsi="Times New Roman"/>
          <w:sz w:val="28"/>
          <w:szCs w:val="28"/>
        </w:rPr>
        <w:t>» и, соответственно, за счет увеличения объемов производства по литейным смолам (</w:t>
      </w:r>
      <w:r>
        <w:rPr>
          <w:rFonts w:ascii="Times New Roman" w:hAnsi="Times New Roman"/>
          <w:sz w:val="28"/>
          <w:szCs w:val="28"/>
        </w:rPr>
        <w:t>новое СП ООО «</w:t>
      </w:r>
      <w:proofErr w:type="spellStart"/>
      <w:r>
        <w:rPr>
          <w:rFonts w:ascii="Times New Roman" w:hAnsi="Times New Roman"/>
          <w:sz w:val="28"/>
          <w:szCs w:val="28"/>
        </w:rPr>
        <w:t>Уралхимпласт</w:t>
      </w:r>
      <w:r w:rsidRPr="00845B36">
        <w:rPr>
          <w:rFonts w:ascii="Times New Roman" w:hAnsi="Times New Roman"/>
          <w:sz w:val="28"/>
          <w:szCs w:val="28"/>
        </w:rPr>
        <w:t>-Хюттенес</w:t>
      </w:r>
      <w:proofErr w:type="spellEnd"/>
      <w:r w:rsidRPr="00845B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5B36">
        <w:rPr>
          <w:rFonts w:ascii="Times New Roman" w:hAnsi="Times New Roman"/>
          <w:sz w:val="28"/>
          <w:szCs w:val="28"/>
        </w:rPr>
        <w:t>Альбертус</w:t>
      </w:r>
      <w:proofErr w:type="spellEnd"/>
      <w:r w:rsidRPr="0090370E">
        <w:rPr>
          <w:rFonts w:ascii="Times New Roman" w:hAnsi="Times New Roman"/>
          <w:sz w:val="28"/>
          <w:szCs w:val="28"/>
        </w:rPr>
        <w:t xml:space="preserve">»), смолам для РТИ и шинной промышленности </w:t>
      </w:r>
      <w:r w:rsidRPr="00845B36">
        <w:rPr>
          <w:rFonts w:ascii="Times New Roman" w:hAnsi="Times New Roman"/>
          <w:sz w:val="28"/>
          <w:szCs w:val="28"/>
        </w:rPr>
        <w:t xml:space="preserve">(ООО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845B36">
        <w:rPr>
          <w:rFonts w:ascii="Times New Roman" w:hAnsi="Times New Roman"/>
          <w:sz w:val="28"/>
          <w:szCs w:val="28"/>
        </w:rPr>
        <w:t>Уралхимпласт</w:t>
      </w:r>
      <w:proofErr w:type="spellEnd"/>
      <w:r w:rsidRPr="00845B36">
        <w:rPr>
          <w:rFonts w:ascii="Times New Roman" w:hAnsi="Times New Roman"/>
          <w:sz w:val="28"/>
          <w:szCs w:val="28"/>
        </w:rPr>
        <w:t xml:space="preserve"> - Эс</w:t>
      </w:r>
      <w:proofErr w:type="gramStart"/>
      <w:r w:rsidRPr="00845B3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45B36">
        <w:rPr>
          <w:rFonts w:ascii="Times New Roman" w:hAnsi="Times New Roman"/>
          <w:sz w:val="28"/>
          <w:szCs w:val="28"/>
        </w:rPr>
        <w:t>й Груп</w:t>
      </w:r>
      <w:r>
        <w:rPr>
          <w:rFonts w:ascii="Times New Roman" w:hAnsi="Times New Roman"/>
          <w:sz w:val="28"/>
          <w:szCs w:val="28"/>
        </w:rPr>
        <w:t>п»</w:t>
      </w:r>
      <w:r w:rsidRPr="00845B36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845B36">
        <w:rPr>
          <w:rFonts w:ascii="Times New Roman" w:hAnsi="Times New Roman"/>
          <w:sz w:val="28"/>
          <w:szCs w:val="28"/>
        </w:rPr>
        <w:t>производству метанола (ЗАО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B36">
        <w:rPr>
          <w:rFonts w:ascii="Times New Roman" w:hAnsi="Times New Roman"/>
          <w:sz w:val="28"/>
          <w:szCs w:val="28"/>
        </w:rPr>
        <w:t>«</w:t>
      </w:r>
      <w:proofErr w:type="spellStart"/>
      <w:r w:rsidRPr="00845B36">
        <w:rPr>
          <w:rFonts w:ascii="Times New Roman" w:hAnsi="Times New Roman"/>
          <w:sz w:val="28"/>
          <w:szCs w:val="28"/>
        </w:rPr>
        <w:t>УралМетанолГрупп</w:t>
      </w:r>
      <w:proofErr w:type="spellEnd"/>
      <w:r w:rsidRPr="00845B36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 xml:space="preserve">. Кроме того с 2017 года планируется создание собственной электросетевой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организации, что также приведет к росту выручки и повышению качества обслуживания резидентов. </w:t>
      </w:r>
    </w:p>
    <w:p w:rsidR="00D12FD8" w:rsidRDefault="00D12FD8" w:rsidP="00D12FD8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370E">
        <w:rPr>
          <w:rFonts w:ascii="Times New Roman" w:hAnsi="Times New Roman"/>
          <w:sz w:val="28"/>
          <w:szCs w:val="28"/>
        </w:rPr>
        <w:t>Мойка тары, услуги по сжиганию и захоронению отходов. Планируется модернизация оборудования по данному комплексу услуг</w:t>
      </w:r>
      <w:r>
        <w:rPr>
          <w:rFonts w:ascii="Times New Roman" w:hAnsi="Times New Roman"/>
          <w:sz w:val="28"/>
          <w:szCs w:val="28"/>
        </w:rPr>
        <w:t xml:space="preserve"> с одновременным увеличением пропускной способности и качеством (мойка тары, авто и ЖД цистерн). Снижение уровня загрязнения окружающей среды посредством использования более эффективной технологии сжигания отходов.</w:t>
      </w:r>
    </w:p>
    <w:p w:rsidR="00D12FD8" w:rsidRDefault="00D12FD8" w:rsidP="00D12FD8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Аренда. Планируется расширение площадей сдаваемых в аренду за счет расширения производства действующих на территории Технопарка резидентов (ООО «</w:t>
      </w:r>
      <w:proofErr w:type="spellStart"/>
      <w:r>
        <w:rPr>
          <w:rFonts w:ascii="Times New Roman" w:hAnsi="Times New Roman"/>
          <w:sz w:val="28"/>
          <w:szCs w:val="28"/>
        </w:rPr>
        <w:t>Уралхимпласт-Амдор</w:t>
      </w:r>
      <w:proofErr w:type="spellEnd"/>
      <w:r w:rsidRPr="00B625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ООО НПО</w:t>
      </w:r>
      <w:r w:rsidRPr="00B62554">
        <w:rPr>
          <w:rFonts w:ascii="Times New Roman" w:hAnsi="Times New Roman"/>
          <w:sz w:val="28"/>
          <w:szCs w:val="28"/>
        </w:rPr>
        <w:t xml:space="preserve"> «Буровик»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2554">
        <w:rPr>
          <w:rFonts w:ascii="Times New Roman" w:hAnsi="Times New Roman"/>
          <w:sz w:val="28"/>
          <w:szCs w:val="28"/>
        </w:rPr>
        <w:t>ООО «</w:t>
      </w:r>
      <w:proofErr w:type="spellStart"/>
      <w:r w:rsidRPr="00B62554">
        <w:rPr>
          <w:rFonts w:ascii="Times New Roman" w:hAnsi="Times New Roman"/>
          <w:sz w:val="28"/>
          <w:szCs w:val="28"/>
        </w:rPr>
        <w:t>Экотехнологии</w:t>
      </w:r>
      <w:proofErr w:type="spellEnd"/>
      <w:r w:rsidRPr="00B62554">
        <w:rPr>
          <w:rFonts w:ascii="Times New Roman" w:hAnsi="Times New Roman"/>
          <w:sz w:val="28"/>
          <w:szCs w:val="28"/>
        </w:rPr>
        <w:t xml:space="preserve"> 2005»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2554">
        <w:rPr>
          <w:rFonts w:ascii="Times New Roman" w:hAnsi="Times New Roman"/>
          <w:sz w:val="28"/>
          <w:szCs w:val="28"/>
        </w:rPr>
        <w:t>ООО «Центр профилактической медицины УХП»</w:t>
      </w:r>
      <w:r>
        <w:rPr>
          <w:rFonts w:ascii="Times New Roman" w:hAnsi="Times New Roman"/>
          <w:sz w:val="28"/>
          <w:szCs w:val="28"/>
        </w:rPr>
        <w:t xml:space="preserve"> и прочие), а также привлечения новых </w:t>
      </w:r>
    </w:p>
    <w:p w:rsidR="00D12FD8" w:rsidRDefault="00D12FD8" w:rsidP="00D12F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конечном итоге, рост производства и приход новых резидентов в Технопарк по факту 2012-2014гг привел к расширению как </w:t>
      </w:r>
      <w:proofErr w:type="gramStart"/>
      <w:r>
        <w:rPr>
          <w:rFonts w:ascii="Times New Roman" w:hAnsi="Times New Roman"/>
          <w:sz w:val="28"/>
          <w:szCs w:val="28"/>
        </w:rPr>
        <w:t>количественных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к улучшению качественных показателей услуг. В дальнейшем, в период 2015 -2018гг планируется еще большее увеличение объемов производств действующих резидентов, а также привлечение дополнительных – в том числе и за счет реализации мероприятий по </w:t>
      </w:r>
      <w:proofErr w:type="spellStart"/>
      <w:r>
        <w:rPr>
          <w:rFonts w:ascii="Times New Roman" w:hAnsi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/>
          <w:sz w:val="28"/>
          <w:szCs w:val="28"/>
        </w:rPr>
        <w:t>.  Все это способствует созданию к 2018 году до 120 новых рабочих мест.</w:t>
      </w:r>
    </w:p>
    <w:p w:rsidR="00D12FD8" w:rsidRDefault="00D12FD8" w:rsidP="00D12F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12FD8" w:rsidRDefault="00D12FD8" w:rsidP="00D12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генерального директора-</w:t>
      </w:r>
    </w:p>
    <w:p w:rsidR="00792CBA" w:rsidRDefault="00D12FD8" w:rsidP="00D12FD8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792CBA" w:rsidSect="000B51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Руководитель проекта «</w:t>
      </w:r>
      <w:proofErr w:type="spellStart"/>
      <w:r>
        <w:rPr>
          <w:rFonts w:ascii="Times New Roman" w:hAnsi="Times New Roman"/>
          <w:sz w:val="28"/>
          <w:szCs w:val="28"/>
        </w:rPr>
        <w:t>Химпарк</w:t>
      </w:r>
      <w:proofErr w:type="spellEnd"/>
      <w:r>
        <w:rPr>
          <w:rFonts w:ascii="Times New Roman" w:hAnsi="Times New Roman"/>
          <w:sz w:val="28"/>
          <w:szCs w:val="28"/>
        </w:rPr>
        <w:t xml:space="preserve"> Тагил»                                             И.А. Гердт</w:t>
      </w:r>
    </w:p>
    <w:p w:rsidR="000B5173" w:rsidRPr="00D12FD8" w:rsidRDefault="000B5173" w:rsidP="00D12FD8">
      <w:pPr>
        <w:jc w:val="both"/>
        <w:rPr>
          <w:rFonts w:ascii="Times New Roman" w:hAnsi="Times New Roman"/>
          <w:sz w:val="26"/>
          <w:szCs w:val="28"/>
        </w:rPr>
      </w:pPr>
    </w:p>
    <w:sectPr w:rsidR="000B5173" w:rsidRPr="00D12FD8" w:rsidSect="003A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2C3"/>
    <w:multiLevelType w:val="hybridMultilevel"/>
    <w:tmpl w:val="A972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82F6A"/>
    <w:multiLevelType w:val="hybridMultilevel"/>
    <w:tmpl w:val="616260E8"/>
    <w:lvl w:ilvl="0" w:tplc="216CB0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26E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A0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6ED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843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8F4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E19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A2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E36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110F8"/>
    <w:multiLevelType w:val="hybridMultilevel"/>
    <w:tmpl w:val="456234C2"/>
    <w:lvl w:ilvl="0" w:tplc="8034C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6F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0D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E3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23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8E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AB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AF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4E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853FAF"/>
    <w:multiLevelType w:val="hybridMultilevel"/>
    <w:tmpl w:val="AB3A7C3A"/>
    <w:lvl w:ilvl="0" w:tplc="5BB82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AA1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28A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A64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63D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CCE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8F7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086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E03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33655"/>
    <w:multiLevelType w:val="hybridMultilevel"/>
    <w:tmpl w:val="53BCE6B0"/>
    <w:lvl w:ilvl="0" w:tplc="6B6C7F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CA0E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4E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6F9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44A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67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85D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C2C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8CF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A551E"/>
    <w:multiLevelType w:val="hybridMultilevel"/>
    <w:tmpl w:val="5A887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264E4"/>
    <w:multiLevelType w:val="hybridMultilevel"/>
    <w:tmpl w:val="ABD458AC"/>
    <w:lvl w:ilvl="0" w:tplc="4B8CB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E5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EA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9E5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6C0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01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C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2D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C4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1212FB4"/>
    <w:multiLevelType w:val="hybridMultilevel"/>
    <w:tmpl w:val="9DCC3738"/>
    <w:lvl w:ilvl="0" w:tplc="EA6E1B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95E2C01"/>
    <w:multiLevelType w:val="hybridMultilevel"/>
    <w:tmpl w:val="B43AC8E6"/>
    <w:lvl w:ilvl="0" w:tplc="A40E15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483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406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A6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CEA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804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A2A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29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050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8285A"/>
    <w:multiLevelType w:val="hybridMultilevel"/>
    <w:tmpl w:val="92FAE7F2"/>
    <w:lvl w:ilvl="0" w:tplc="B39285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A42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8D0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E40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44A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A2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3F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A1F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C73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E5"/>
    <w:rsid w:val="000022FE"/>
    <w:rsid w:val="00002B5E"/>
    <w:rsid w:val="00044A71"/>
    <w:rsid w:val="000A3295"/>
    <w:rsid w:val="000B5173"/>
    <w:rsid w:val="001667E5"/>
    <w:rsid w:val="00314459"/>
    <w:rsid w:val="003A6A36"/>
    <w:rsid w:val="0043090D"/>
    <w:rsid w:val="00466505"/>
    <w:rsid w:val="004A1C11"/>
    <w:rsid w:val="00523927"/>
    <w:rsid w:val="00621492"/>
    <w:rsid w:val="006E7ED8"/>
    <w:rsid w:val="00717E13"/>
    <w:rsid w:val="007265B6"/>
    <w:rsid w:val="00752861"/>
    <w:rsid w:val="00755502"/>
    <w:rsid w:val="00792CBA"/>
    <w:rsid w:val="00974280"/>
    <w:rsid w:val="009A4996"/>
    <w:rsid w:val="009E4D9B"/>
    <w:rsid w:val="00A220F3"/>
    <w:rsid w:val="00A834AC"/>
    <w:rsid w:val="00AC37C4"/>
    <w:rsid w:val="00AD2AD6"/>
    <w:rsid w:val="00AD42AB"/>
    <w:rsid w:val="00AD4A5B"/>
    <w:rsid w:val="00BC092E"/>
    <w:rsid w:val="00C11224"/>
    <w:rsid w:val="00C310B3"/>
    <w:rsid w:val="00C40F2D"/>
    <w:rsid w:val="00C74A47"/>
    <w:rsid w:val="00D12FD8"/>
    <w:rsid w:val="00D17273"/>
    <w:rsid w:val="00D37B2E"/>
    <w:rsid w:val="00D5288D"/>
    <w:rsid w:val="00D57846"/>
    <w:rsid w:val="00ED7729"/>
    <w:rsid w:val="00F20BAB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92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CB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5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92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CB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PowerPoint]Лист1'!$B$3</c:f>
              <c:strCache>
                <c:ptCount val="1"/>
                <c:pt idx="0">
                  <c:v>Выручка резидентов (млн.рублей)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PowerPoint]Лист1'!$C$2:$E$2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'[Диаграмма в Microsoft PowerPoint]Лист1'!$C$3:$E$3</c:f>
              <c:numCache>
                <c:formatCode>#,##0</c:formatCode>
                <c:ptCount val="3"/>
                <c:pt idx="0">
                  <c:v>6142</c:v>
                </c:pt>
                <c:pt idx="1">
                  <c:v>5445</c:v>
                </c:pt>
                <c:pt idx="2">
                  <c:v>6477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PowerPoint]Лист1'!$B$4</c:f>
              <c:strCache>
                <c:ptCount val="1"/>
                <c:pt idx="0">
                  <c:v>Количество занятых рабочих мест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PowerPoint]Лист1'!$C$2:$E$2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'[Диаграмма в Microsoft PowerPoint]Лист1'!$C$4:$E$4</c:f>
              <c:numCache>
                <c:formatCode>#,##0</c:formatCode>
                <c:ptCount val="3"/>
                <c:pt idx="0">
                  <c:v>1620</c:v>
                </c:pt>
                <c:pt idx="1">
                  <c:v>1634</c:v>
                </c:pt>
                <c:pt idx="2">
                  <c:v>1639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PowerPoint]Лист1'!$B$5</c:f>
              <c:strCache>
                <c:ptCount val="1"/>
                <c:pt idx="0">
                  <c:v>Доля инновационной продукции в объеме продаж т.р.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6.6666666666666666E-2"/>
                  <c:y val="0.138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PowerPoint]Лист1'!$C$2:$E$2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'[Диаграмма в Microsoft PowerPoint]Лист1'!$C$5:$E$5</c:f>
              <c:numCache>
                <c:formatCode>#,##0</c:formatCode>
                <c:ptCount val="3"/>
                <c:pt idx="0">
                  <c:v>737</c:v>
                </c:pt>
                <c:pt idx="1">
                  <c:v>871</c:v>
                </c:pt>
                <c:pt idx="2">
                  <c:v>1405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897408"/>
        <c:axId val="64898944"/>
        <c:axId val="0"/>
      </c:bar3DChart>
      <c:catAx>
        <c:axId val="6489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898944"/>
        <c:crosses val="autoZero"/>
        <c:auto val="1"/>
        <c:lblAlgn val="ctr"/>
        <c:lblOffset val="100"/>
        <c:noMultiLvlLbl val="0"/>
      </c:catAx>
      <c:valAx>
        <c:axId val="6489894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6489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AD20-3B00-4BD5-8C0D-1AB34DFC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"Уралхимпласт"</Company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chazov</dc:creator>
  <cp:lastModifiedBy>Igor Gerdt</cp:lastModifiedBy>
  <cp:revision>11</cp:revision>
  <cp:lastPrinted>2012-05-29T11:34:00Z</cp:lastPrinted>
  <dcterms:created xsi:type="dcterms:W3CDTF">2015-03-26T07:10:00Z</dcterms:created>
  <dcterms:modified xsi:type="dcterms:W3CDTF">2015-04-09T05:51:00Z</dcterms:modified>
</cp:coreProperties>
</file>